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FE259">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default" w:ascii="方正小标宋_GBK" w:hAnsi="方正小标宋_GBK" w:eastAsia="方正小标宋_GBK" w:cs="方正小标宋_GBK"/>
          <w:b w:val="0"/>
          <w:bCs w:val="0"/>
          <w:color w:val="000000" w:themeColor="text1"/>
          <w:kern w:val="2"/>
          <w:sz w:val="44"/>
          <w:szCs w:val="44"/>
          <w:lang w:val="en-US" w:eastAsia="zh-CN" w:bidi="ar-SA"/>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4"/>
          <w:szCs w:val="44"/>
          <w:lang w:val="en-US" w:eastAsia="zh-CN" w:bidi="ar-SA"/>
          <w14:textFill>
            <w14:solidFill>
              <w14:schemeClr w14:val="tx1"/>
            </w14:solidFill>
          </w14:textFill>
        </w:rPr>
        <w:t>江西省红十字基金会固定资产管理办法</w:t>
      </w:r>
    </w:p>
    <w:p w14:paraId="64086022">
      <w:pPr>
        <w:keepNext w:val="0"/>
        <w:keepLines w:val="0"/>
        <w:pageBreakBefore w:val="0"/>
        <w:widowControl w:val="0"/>
        <w:kinsoku/>
        <w:wordWrap/>
        <w:overflowPunct/>
        <w:topLinePunct w:val="0"/>
        <w:autoSpaceDE/>
        <w:autoSpaceDN/>
        <w:bidi w:val="0"/>
        <w:adjustRightInd/>
        <w:snapToGrid/>
        <w:spacing w:line="640" w:lineRule="exact"/>
        <w:ind w:left="0" w:leftChars="0" w:right="0"/>
        <w:jc w:val="center"/>
        <w:textAlignment w:val="auto"/>
        <w:outlineLvl w:val="0"/>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（征求意见稿）</w:t>
      </w:r>
    </w:p>
    <w:p w14:paraId="1DE28BB1">
      <w:pPr>
        <w:rPr>
          <w:rFonts w:hint="eastAsia"/>
          <w:color w:val="000000" w:themeColor="text1"/>
          <w14:textFill>
            <w14:solidFill>
              <w14:schemeClr w14:val="tx1"/>
            </w14:solidFill>
          </w14:textFill>
        </w:rPr>
      </w:pPr>
    </w:p>
    <w:p w14:paraId="7AF56458">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第一章</w:t>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ab/>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总则</w:t>
      </w:r>
    </w:p>
    <w:p w14:paraId="61596B3B">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第一条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为加强</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江西省红十字基金会（以下简称“基金会”）</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固定资产管理工作，确保固定资产安全完整，提高固定资产使用效率，防止固定资产的闲置和流失，根据《中华人民共和国会计法》《中华人民共和国慈善法》《民间非营利组织会计制度》《江西省红十字基金会财务管理制度》等相关法律法规，结合基金会实际，制定本办法。</w:t>
      </w:r>
    </w:p>
    <w:p w14:paraId="334BE32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笫二条</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本办法所称固定资产，是指为保障基金会各项工作正常运行、使用年限超过一年且单位价值较高的有形资产。</w:t>
      </w:r>
    </w:p>
    <w:p w14:paraId="3B5DA122">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 xml:space="preserve">笫三条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本办法固定资产管理的内容包括固定资产的配置、登记、使用、清查和处置等。</w:t>
      </w:r>
    </w:p>
    <w:p w14:paraId="000019D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笫四条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基金会固定资产的管理应当坚持安全规范、节约高效、公开透明、权责一致的原则，实现实物管理与价值管理相统一，资产管理与财务管理相结合。</w:t>
      </w:r>
    </w:p>
    <w:p w14:paraId="56B5E687">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第二章</w:t>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ab/>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管理机构和职责</w:t>
      </w:r>
    </w:p>
    <w:p w14:paraId="668ABFC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第五条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财务部门是基金会固定资产的价值管理部门，主要职责为：</w:t>
      </w:r>
    </w:p>
    <w:p w14:paraId="25ED874F">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（一）贯彻执行固定资产管理的法律、法规和政策，制定基金会固定资产管理制度并组织实施；</w:t>
      </w:r>
    </w:p>
    <w:p w14:paraId="5CC05B1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red"/>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（二）负责固定资产的会计核算工作，设置固定资产总账、分类账、明细账，按固定资产的类别进行核算。</w:t>
      </w:r>
    </w:p>
    <w:p w14:paraId="463B6991">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笫六条</w:t>
      </w: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综合部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是基金会固定资产的实物管理部门，主要职责为：</w:t>
      </w:r>
    </w:p>
    <w:p w14:paraId="500A2A6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（一）负责固定资产的集中购置、验收、领用、清查盘点、保管、维修、处置等；</w:t>
      </w:r>
    </w:p>
    <w:p w14:paraId="2D2F0302">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（二）负责固定资产的实物登记和管理，建立固定资产实物管理卡片台账(附件1)；</w:t>
      </w:r>
    </w:p>
    <w:p w14:paraId="1307B03B">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（三）会同财务部定期开展固定资产盘点清查，填制盘点表，及时与财务账目进行核对。</w:t>
      </w:r>
    </w:p>
    <w:p w14:paraId="7B2C983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笫七条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各部门是基金会固定资产的使用部门，主要职责为：</w:t>
      </w:r>
    </w:p>
    <w:p w14:paraId="1DEB2D3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（一）负责本部门固定资产配置申请、日常使用和管理，指定资产保管员，确保在用固定资产安全、完整、有效。</w:t>
      </w:r>
    </w:p>
    <w:p w14:paraId="79FE0531">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（二）配合综合部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和财务部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开展固定资产的盘点清查、监督检查等。</w:t>
      </w:r>
    </w:p>
    <w:p w14:paraId="28F3DF3B">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第三章</w:t>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ab/>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固定资产的标准、分类、计价</w:t>
      </w:r>
    </w:p>
    <w:p w14:paraId="2C596465">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笫八条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固定资产的标准</w:t>
      </w:r>
    </w:p>
    <w:p w14:paraId="47EE55EB">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（一）单位价值在1000元以上、且预计使用年限在一年以上，在使用过程中基本保持原有实物形态的房屋、构筑物、办公家具、机电设备、交通运输工具等；</w:t>
      </w:r>
    </w:p>
    <w:p w14:paraId="22CEC5EB">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（二）单位价值虽未达到规定标准，但耐用时间在一年以上的批量物资。</w:t>
      </w:r>
    </w:p>
    <w:p w14:paraId="11666C7D">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笫九条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固定资产的分类</w:t>
      </w:r>
    </w:p>
    <w:p w14:paraId="0659032F">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（一）房屋及构筑物；</w:t>
      </w:r>
    </w:p>
    <w:p w14:paraId="691177E7">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（二）办公家具；</w:t>
      </w:r>
    </w:p>
    <w:p w14:paraId="215C1695">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（三）机电设备；</w:t>
      </w:r>
    </w:p>
    <w:p w14:paraId="4825079B">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（四）交通工具；</w:t>
      </w:r>
    </w:p>
    <w:p w14:paraId="550CA65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（五）其他固定资产。</w:t>
      </w:r>
    </w:p>
    <w:p w14:paraId="0B1CFBBC">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第十条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固定资产的计价</w:t>
      </w:r>
    </w:p>
    <w:p w14:paraId="760A16E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固定资产在取得时，应当按取得时的实际成本入账。取得时的实际成本包括购买价、包装费、运输费、缴纳的有关税金等相关费用，以及为使固定资产达到预定可使用状态前所必要的支出。固定资产取得时的实际成本应当根据以下具体情况分别确定：</w:t>
      </w:r>
    </w:p>
    <w:p w14:paraId="5B5B2BBC">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外购的固定资产，按照实际支付的买价、相关税费以及为使固定资产达到预定可使用状态前所发生的可直接归属于该固定资产的其他支出（如：运输费、安装费、装卸费等）确定其成本。如果以一笔款项购入多项没有单独标价的固定资产，按各项固定资产公允价值的比例对总成本进行分配，分别确定各项固定资产的成本。</w:t>
      </w:r>
    </w:p>
    <w:p w14:paraId="0A1EA078">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（二）自行建造的固定资产，按照建造该项资产达到预定可使用状态前所发生的全部必要支出确定其成本。</w:t>
      </w:r>
    </w:p>
    <w:p w14:paraId="6416119D">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接受捐赠的固定资产，捐赠方提供相关凭据（如发票、报关单、有关协议等）的，按照凭据上标明的金额作为入账价值。如果凭据上标明的金额与受赠资产公允价值相差较大的或捐赠方没有提供相关凭据的，按照公允价值作为入账价值。</w:t>
      </w:r>
    </w:p>
    <w:p w14:paraId="095923C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（四）通过非货币性交易换入的固定资产，按照《民间非营利组织会计制度》要求进行计价。</w:t>
      </w:r>
    </w:p>
    <w:p w14:paraId="622ADBA5">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第四章</w:t>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ab/>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固定资产的配置和管理</w:t>
      </w:r>
    </w:p>
    <w:p w14:paraId="51CC3087">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笫十一条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固定资产的配置由综合部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综合统筹，配置方式包括调剂、购置、建设、租用、接受捐赠等。应优先通过调剂方式配置固定资产。</w:t>
      </w:r>
    </w:p>
    <w:p w14:paraId="6828293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笫十二条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固定资产购置原则上按照年度预算方式集中申</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请，经理事会审议通过后由综合部门进行年度集中采购。各部门因工作需要在预算外申请购置固定资产的，需按照内部审批权限办理请示流程（附件2），详细说明购置原因、用途、数量、规格及预算费用等信息，由综合部门统一购置。</w:t>
      </w:r>
    </w:p>
    <w:p w14:paraId="2BE7D96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第十三条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综合部门负责固定资产的登记、出入库、日常管理及维修等。</w:t>
      </w:r>
    </w:p>
    <w:p w14:paraId="2D13F14F">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第十四条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财务部门根据预算、审批依据、购置票据及入库单等有效凭据建立固定资产明细账进行财务核算。</w:t>
      </w:r>
    </w:p>
    <w:p w14:paraId="7A6D18FE">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第十五条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以借入、经营租赁等租入方式取得的固定资产，不通过“固定资产”科目进行核算，由综合部和财务部建立资产台账备查。</w:t>
      </w:r>
    </w:p>
    <w:p w14:paraId="74EFFF8C">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笫十六条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捐赠固定资产的配置、登记、使用和处置等事项，以募捐方案、捐赠人意愿或捐赠协议等为依据进行固定资产管理。如捐赠方案或捐赠人无特定要求的，按国家相关规定和标准进行管理。</w:t>
      </w:r>
    </w:p>
    <w:p w14:paraId="3FF2994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第十七条</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各部门应当按照各自职责加强固定资产的日常管理，将管理责任落实到岗位和人员，做到责任明确、手续完备。</w:t>
      </w:r>
    </w:p>
    <w:p w14:paraId="49B6E9F5">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2"/>
        <w:jc w:val="center"/>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笫十八条</w:t>
      </w: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各部门应当妥善管理配置的固定资产，加强固定资产的日常维护和保养，确保固定资产在规定使用期内性能良</w:t>
      </w:r>
    </w:p>
    <w:p w14:paraId="372D6015">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both"/>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好。造成资产非正常损失的，由部门承担相应责任。</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br w:type="textWrapping"/>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 xml:space="preserve">    </w:t>
      </w: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第十九条</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由于离职或岗位调整等原因，资产保管人与综合部门资产管理人员进行实物清点，核实无误后，由综合部门与新资产保管人办理领用保管手续。</w:t>
      </w:r>
    </w:p>
    <w:p w14:paraId="29A32B86">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第五章</w:t>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ab/>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固定资产的折旧</w:t>
      </w:r>
    </w:p>
    <w:p w14:paraId="1E2D5868">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笫二十条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基金会应当对符合固定资产确认条件的自有产权资产计提折旧，并在固定资产的预计使用寿命内系统地分摊固定</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资产的成本。</w:t>
      </w:r>
    </w:p>
    <w:p w14:paraId="04ACCBBC">
      <w:pPr>
        <w:pStyle w:val="3"/>
        <w:ind w:firstLine="640" w:firstLineChars="200"/>
        <w:rPr>
          <w:rFonts w:hint="default"/>
          <w:b w:val="0"/>
          <w:bCs w:val="0"/>
          <w:color w:val="000000" w:themeColor="text1"/>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第二十一条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对于按公允价值入账的接受捐赠固定资产，应计提折旧。折旧费用计入相关项目或管理成本，以反映资产使用消耗。</w:t>
      </w:r>
    </w:p>
    <w:p w14:paraId="7D08A652">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笫二十二条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基金会应当根据固定资产的性质和消耗方式，合理地确定固定资产的预计使用年限和预计净残值。固定资产提完折旧还可继续使用的，不再计提折旧；提前报废的固定资产要提足折旧。</w:t>
      </w:r>
    </w:p>
    <w:p w14:paraId="10F6850F">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笫二十三条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基金会应当按照固定资产所含经济利益或者服务潜力的预期实现方式选择折旧方法，可选用的折旧方法包括年限平均法、工作量法、双倍余额递减法和年数总和法。折旧方法一经确定，不得随意变更。</w:t>
      </w:r>
    </w:p>
    <w:p w14:paraId="3A51AE32">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第六章</w:t>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ab/>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固定资产清查与盘点</w:t>
      </w:r>
    </w:p>
    <w:p w14:paraId="4024C3A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 xml:space="preserve">笫二十四条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建立固定资产定期清查盘点制度。综合部门与财务部门应共同组织对基金会固定资产组织一次全面、实地的清查盘点，会同资产使用管理部门对清查盘点的结果进行核实确认并签字。    </w:t>
      </w:r>
    </w:p>
    <w:p w14:paraId="52402D09">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笫二十五条</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资产盘点后，综合部门与财务部门应据实填写江西省红十字基金会固定资产清查盘点表(见附件3），与固定资产明细账、固定资产卡片、固定资产台账逐项核对，做到账实相符。</w:t>
      </w:r>
    </w:p>
    <w:p w14:paraId="3144A8D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笫二十六条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对盘点中发现的问题，如盘盈、盘亏、损毁、丢失等，须查明原因，分清责任，编制盘点报告，提出处理意见，按规定权限报批后进行财务处理。</w:t>
      </w:r>
    </w:p>
    <w:p w14:paraId="74B53568">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第七章  固定资产租赁</w:t>
      </w:r>
    </w:p>
    <w:p w14:paraId="6A582305">
      <w:pPr>
        <w:pStyle w:val="4"/>
        <w:numPr>
          <w:ilvl w:val="0"/>
          <w:numId w:val="0"/>
        </w:numPr>
        <w:ind w:right="0" w:rightChars="0"/>
        <w:jc w:val="both"/>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第二十七条</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基金会因办公、仓储、活动开展等需要租赁房屋、场地、设备等固定资产，应遵循“必要、合规、经济、安全”的原则，严格履行审批程序，加强租入与租出资产的全过程管理。</w:t>
      </w:r>
    </w:p>
    <w:p w14:paraId="6E892A42">
      <w:pPr>
        <w:ind w:firstLine="640" w:firstLineChars="200"/>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第二十八条</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租赁审批与预算管理</w:t>
      </w:r>
    </w:p>
    <w:p w14:paraId="76BE573F">
      <w:pPr>
        <w:pStyle w:val="3"/>
        <w:numPr>
          <w:ilvl w:val="0"/>
          <w:numId w:val="1"/>
        </w:numPr>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各部门因工作需要提出租赁需求时，须进行充分论证，提交固定资产租赁申请报告，详细说明租赁事由、租赁标的、租赁期限、预算金额等。</w:t>
      </w:r>
    </w:p>
    <w:p w14:paraId="20A7CD28">
      <w:pPr>
        <w:pStyle w:val="3"/>
        <w:numPr>
          <w:ilvl w:val="0"/>
          <w:numId w:val="0"/>
        </w:numPr>
        <w:ind w:right="0" w:rightChars="0" w:firstLine="640" w:firstLineChars="200"/>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（二）租赁事项须纳入年度预算管理。预算外单笔年租金或单次租赁总费用在3万元以下的，由秘书长审批；超出该额度的，须按资金审批权限，报秘书长办公会或理事会审批。</w:t>
      </w:r>
    </w:p>
    <w:p w14:paraId="4C9E3826">
      <w:pPr>
        <w:pStyle w:val="4"/>
        <w:numPr>
          <w:ilvl w:val="0"/>
          <w:numId w:val="0"/>
        </w:numPr>
        <w:ind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w:t>
      </w: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二十九</w:t>
      </w:r>
      <w:r>
        <w:rPr>
          <w:rFonts w:hint="default"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条</w:t>
      </w:r>
      <w:r>
        <w:rPr>
          <w:rFonts w:hint="default"/>
          <w:color w:val="000000" w:themeColor="text1"/>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租赁流程</w:t>
      </w:r>
    </w:p>
    <w:p w14:paraId="6F8C6155">
      <w:pPr>
        <w:pStyle w:val="4"/>
        <w:numPr>
          <w:ilvl w:val="0"/>
          <w:numId w:val="0"/>
        </w:numPr>
        <w:ind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（一）市场调研与选商：租赁申请获批后，由</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综合</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部门牵头，会同需求部门、财务部门组成租赁工作小组，进行市场调研。重大租赁项目应引入比价、竞争性谈判等机制，确保租赁价格公允。</w:t>
      </w:r>
    </w:p>
    <w:p w14:paraId="4EC15D5C">
      <w:pPr>
        <w:pStyle w:val="4"/>
        <w:numPr>
          <w:ilvl w:val="0"/>
          <w:numId w:val="0"/>
        </w:numPr>
        <w:ind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（二）合同审核与签订：租赁合同须采用书面形式</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合同签订前，须经</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综合</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部门、财务部门及法律顾问审核。合同应明确租赁标的、期限、用途、租金及支付方式、双方权利义务、维修责任、保险、续租、退租、违约责任及争议解决等关键条款。</w:t>
      </w:r>
    </w:p>
    <w:p w14:paraId="6B3EB0C0">
      <w:pPr>
        <w:pStyle w:val="4"/>
        <w:numPr>
          <w:ilvl w:val="0"/>
          <w:numId w:val="0"/>
        </w:numPr>
        <w:ind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第三十条</w:t>
      </w:r>
      <w:r>
        <w:rPr>
          <w:rFonts w:hint="default"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租入资产管理</w:t>
      </w:r>
    </w:p>
    <w:p w14:paraId="3A46E96B">
      <w:pPr>
        <w:pStyle w:val="4"/>
        <w:numPr>
          <w:ilvl w:val="0"/>
          <w:numId w:val="0"/>
        </w:numPr>
        <w:ind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（一）接收与确认：租赁标的交付时，</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综合</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部门应会同使用部门进行现场查验，确认租赁标的状况与合同约定是否一致。</w:t>
      </w:r>
    </w:p>
    <w:p w14:paraId="251ECA87">
      <w:pPr>
        <w:pStyle w:val="4"/>
        <w:numPr>
          <w:ilvl w:val="0"/>
          <w:numId w:val="0"/>
        </w:numPr>
        <w:ind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使用与维护：使用部门负责租入资产的日常使用、维护和安全，确保按照约定用途使用。对租入资产进行的任何改造、装修或添附，须事先征得出租方书面同意，并评估其必要性、安全性和费用承担方式，履行内部审批。</w:t>
      </w:r>
    </w:p>
    <w:p w14:paraId="043D6605">
      <w:pPr>
        <w:pStyle w:val="4"/>
        <w:numPr>
          <w:ilvl w:val="0"/>
          <w:numId w:val="0"/>
        </w:numPr>
        <w:ind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（三）费用支付：财务部门依据生效的租赁合同、付款通知及内部审批单，按时办理租金及相关费用的支付。</w:t>
      </w:r>
    </w:p>
    <w:p w14:paraId="0A37DA22">
      <w:pPr>
        <w:pStyle w:val="4"/>
        <w:numPr>
          <w:ilvl w:val="0"/>
          <w:numId w:val="0"/>
        </w:numPr>
        <w:ind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（四）检查与续退：</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综合</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部门应定期检查租赁资产的使用状况和合同履行情况。租赁到期前，使用部门需提前提出续租或退租意见，由</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综合</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部门统筹并与出租方协商。退租时，应按照合同约定完成交接，结清费用。</w:t>
      </w:r>
    </w:p>
    <w:p w14:paraId="7E4D5878">
      <w:pPr>
        <w:pStyle w:val="4"/>
        <w:numPr>
          <w:ilvl w:val="0"/>
          <w:numId w:val="0"/>
        </w:numPr>
        <w:ind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第三十</w:t>
      </w: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一</w:t>
      </w:r>
      <w:r>
        <w:rPr>
          <w:rFonts w:hint="default"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条</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租出资产管理</w:t>
      </w:r>
    </w:p>
    <w:p w14:paraId="5B4EC863">
      <w:pPr>
        <w:pStyle w:val="4"/>
        <w:numPr>
          <w:ilvl w:val="0"/>
          <w:numId w:val="2"/>
        </w:numPr>
        <w:ind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可行性研究。</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基金会原则上不主动对外出租资产。确有多余或闲置资产需出租以盘活资源的，须进行可行性论证和风险评估，</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形成可行性分析报告，</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确保不影响公益活动和资产安全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p>
    <w:p w14:paraId="3D136ADC">
      <w:pPr>
        <w:pStyle w:val="4"/>
        <w:numPr>
          <w:ilvl w:val="0"/>
          <w:numId w:val="2"/>
        </w:numPr>
        <w:ind w:left="0" w:leftChars="0"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决策与审批。制定资产出租方案，内容包括基本情况、出租期限、租金定价策略（可结合评估)、招租方式、收益用途、潜在风险及应对措施，方案按</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规定权限履行</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审批</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程序。</w:t>
      </w:r>
    </w:p>
    <w:p w14:paraId="33B1829D">
      <w:pPr>
        <w:pStyle w:val="4"/>
        <w:numPr>
          <w:ilvl w:val="0"/>
          <w:numId w:val="2"/>
        </w:numPr>
        <w:ind w:left="0" w:leftChars="0" w:right="0" w:rightChars="0" w:firstLine="640" w:firstLineChars="200"/>
        <w:jc w:val="both"/>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发布招租信息。基金会可在官网、公众号、公共资源交易平台或主流媒体上公开发布招租公告。内容应包括租赁条件、报名方式、遴选方式等。</w:t>
      </w:r>
    </w:p>
    <w:p w14:paraId="195308B7">
      <w:pPr>
        <w:pStyle w:val="4"/>
        <w:numPr>
          <w:ilvl w:val="0"/>
          <w:numId w:val="2"/>
        </w:numPr>
        <w:ind w:left="0" w:leftChars="0" w:right="0" w:rightChars="0" w:firstLine="640" w:firstLineChars="200"/>
        <w:jc w:val="both"/>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承租方遴选与背景调查。若有多家意向方，应采用公开竞价、综合评议或竞争性谈判等方式确定最终承租房。基金会应对承租方开展必要的资信调查。</w:t>
      </w:r>
    </w:p>
    <w:p w14:paraId="0F332ACA">
      <w:pPr>
        <w:pStyle w:val="4"/>
        <w:numPr>
          <w:ilvl w:val="0"/>
          <w:numId w:val="2"/>
        </w:numPr>
        <w:ind w:left="0" w:leftChars="0" w:right="0" w:rightChars="0" w:firstLine="640" w:firstLineChars="200"/>
        <w:jc w:val="both"/>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合同</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签订。</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租出资产须签订严谨的租赁合同，明确约定资产维护责任、安全责任、保险购买及用于非法活动等保护性条款。租金收入应全部纳入基金会账户统一管理。</w:t>
      </w:r>
    </w:p>
    <w:p w14:paraId="68D46EFE">
      <w:pPr>
        <w:pStyle w:val="4"/>
        <w:numPr>
          <w:ilvl w:val="0"/>
          <w:numId w:val="2"/>
        </w:numPr>
        <w:ind w:left="0" w:leftChars="0" w:right="0" w:rightChars="0" w:firstLine="640" w:firstLineChars="200"/>
        <w:jc w:val="both"/>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社会</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监督</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基金会应在年度审计报告中，对重大资产出租及其收益情况进行披露，接受社会监督。</w:t>
      </w:r>
    </w:p>
    <w:p w14:paraId="0923B034">
      <w:pPr>
        <w:pStyle w:val="4"/>
        <w:numPr>
          <w:ilvl w:val="0"/>
          <w:numId w:val="0"/>
        </w:numPr>
        <w:ind w:right="0" w:rightChars="0" w:firstLine="640" w:firstLineChars="200"/>
        <w:jc w:val="both"/>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（七）资产</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回收</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。综合</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部门负责对租出资产的使用情况进行定期或不定期的监督检查。租赁期满，应及时收回资产并进行验收，确保资产完好。</w:t>
      </w:r>
    </w:p>
    <w:p w14:paraId="2D622A60">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第八章  固定资产处置</w:t>
      </w:r>
    </w:p>
    <w:p w14:paraId="454ADBFA">
      <w:pPr>
        <w:pStyle w:val="3"/>
        <w:numPr>
          <w:ilvl w:val="-1"/>
          <w:numId w:val="0"/>
        </w:numPr>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第三十二条</w:t>
      </w: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固定资产处置包括闲置、报废（淘汰）、产权或使用权转移、盘亏、呆账或非正常损失的固定资产，以及依照有关规定需要处置的固定资产。处置方式包括资产调拨、转让、置换、出售、转增、报损、报废等。</w:t>
      </w:r>
    </w:p>
    <w:p w14:paraId="7EC42861">
      <w:pPr>
        <w:spacing w:line="600" w:lineRule="exact"/>
        <w:jc w:val="cente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第三十三条</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对需要处置的资产，由资产使用部门填写江西省</w:t>
      </w:r>
    </w:p>
    <w:p w14:paraId="35C9DC36">
      <w:pPr>
        <w:spacing w:line="600" w:lineRule="exact"/>
        <w:jc w:val="both"/>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红十字基金会固定资产处置申报审批表（附件4），按内部审批权限办理。</w:t>
      </w:r>
    </w:p>
    <w:p w14:paraId="480253EA">
      <w:pPr>
        <w:pStyle w:val="3"/>
        <w:numPr>
          <w:ilvl w:val="-1"/>
          <w:numId w:val="0"/>
        </w:numPr>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第三十四条</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 xml:space="preserve"> 综合部</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门</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应及时将固定资产实物处置管理情况报财务部</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门</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，财务</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部</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门</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根据固定资产处置</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申报审批</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进行账务处理，并在财务报告中对相关信息进行披露。</w:t>
      </w:r>
    </w:p>
    <w:p w14:paraId="10FFD01B">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笫三十五条</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报废的固定资产经清理后的净收益计入其他收入，净损失作其他费用处理。</w:t>
      </w:r>
    </w:p>
    <w:p w14:paraId="7F45C7E5">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第八章</w:t>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ab/>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附则</w:t>
      </w:r>
    </w:p>
    <w:p w14:paraId="3E6EC292">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笫三十六条</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本办法自三届三次理事会审议通过之日起实施，由基金会财务部负责解释。</w:t>
      </w:r>
      <w:bookmarkStart w:id="0" w:name="_GoBack"/>
      <w:bookmarkEnd w:id="0"/>
    </w:p>
    <w:p w14:paraId="45E53D0D">
      <w:pPr>
        <w:pStyle w:val="3"/>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0148F17F">
      <w:pPr>
        <w:pStyle w:val="4"/>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6A4C8C51">
      <w:pP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6712F614">
      <w:pP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tbl>
      <w:tblPr>
        <w:tblStyle w:val="10"/>
        <w:tblW w:w="86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6"/>
        <w:gridCol w:w="92"/>
        <w:gridCol w:w="2191"/>
        <w:gridCol w:w="273"/>
        <w:gridCol w:w="1088"/>
        <w:gridCol w:w="137"/>
        <w:gridCol w:w="189"/>
        <w:gridCol w:w="907"/>
        <w:gridCol w:w="289"/>
        <w:gridCol w:w="165"/>
        <w:gridCol w:w="105"/>
        <w:gridCol w:w="645"/>
        <w:gridCol w:w="1293"/>
      </w:tblGrid>
      <w:tr w14:paraId="0071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8620" w:type="dxa"/>
            <w:gridSpan w:val="13"/>
            <w:tcBorders>
              <w:top w:val="nil"/>
              <w:left w:val="nil"/>
              <w:bottom w:val="nil"/>
              <w:right w:val="nil"/>
            </w:tcBorders>
            <w:shd w:val="clear" w:color="auto" w:fill="auto"/>
            <w:noWrap/>
            <w:vAlign w:val="center"/>
          </w:tcPr>
          <w:p w14:paraId="400A7F8F">
            <w:pPr>
              <w:pStyle w:val="6"/>
              <w:numPr>
                <w:ilvl w:val="-1"/>
                <w:numId w:val="0"/>
              </w:numPr>
              <w:rPr>
                <w:rFonts w:hint="eastAsia" w:ascii="宋体" w:hAnsi="宋体" w:eastAsia="宋体" w:cs="宋体"/>
                <w:b/>
                <w:bCs/>
                <w:i w:val="0"/>
                <w:iCs w:val="0"/>
                <w:color w:val="000000" w:themeColor="text1"/>
                <w:kern w:val="0"/>
                <w:sz w:val="44"/>
                <w:szCs w:val="44"/>
                <w:u w:val="none"/>
                <w:lang w:val="en-US" w:eastAsia="zh-CN" w:bidi="ar"/>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14:paraId="4BBBAA46">
            <w:pPr>
              <w:widowControl/>
              <w:jc w:val="center"/>
              <w:textAlignment w:val="center"/>
              <w:rPr>
                <w:rFonts w:hint="eastAsia"/>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val="0"/>
                <w:i w:val="0"/>
                <w:iCs w:val="0"/>
                <w:color w:val="000000" w:themeColor="text1"/>
                <w:kern w:val="0"/>
                <w:sz w:val="44"/>
                <w:szCs w:val="44"/>
                <w:u w:val="none"/>
                <w:lang w:val="en-US" w:eastAsia="zh-CN" w:bidi="ar"/>
                <w14:textFill>
                  <w14:solidFill>
                    <w14:schemeClr w14:val="tx1"/>
                  </w14:solidFill>
                </w14:textFill>
              </w:rPr>
              <w:t>江西省红十字基金会固定资产卡片</w:t>
            </w:r>
          </w:p>
        </w:tc>
      </w:tr>
      <w:tr w14:paraId="68F6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3529" w:type="dxa"/>
            <w:gridSpan w:val="3"/>
            <w:tcBorders>
              <w:top w:val="nil"/>
              <w:left w:val="nil"/>
              <w:bottom w:val="nil"/>
              <w:right w:val="nil"/>
            </w:tcBorders>
            <w:shd w:val="clear" w:color="auto" w:fill="auto"/>
            <w:noWrap/>
            <w:vAlign w:val="center"/>
          </w:tcPr>
          <w:p w14:paraId="6E18C939">
            <w:pPr>
              <w:keepNext w:val="0"/>
              <w:keepLines w:val="0"/>
              <w:widowControl/>
              <w:suppressLineNumbers w:val="0"/>
              <w:jc w:val="lef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资产编号：      </w:t>
            </w:r>
          </w:p>
        </w:tc>
        <w:tc>
          <w:tcPr>
            <w:tcW w:w="1687" w:type="dxa"/>
            <w:gridSpan w:val="4"/>
            <w:tcBorders>
              <w:top w:val="nil"/>
              <w:left w:val="nil"/>
              <w:bottom w:val="nil"/>
              <w:right w:val="nil"/>
            </w:tcBorders>
            <w:shd w:val="clear" w:color="auto" w:fill="auto"/>
            <w:noWrap/>
            <w:vAlign w:val="center"/>
          </w:tcPr>
          <w:p w14:paraId="7353444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07" w:type="dxa"/>
            <w:tcBorders>
              <w:top w:val="nil"/>
              <w:left w:val="nil"/>
              <w:bottom w:val="nil"/>
              <w:right w:val="nil"/>
            </w:tcBorders>
            <w:shd w:val="clear" w:color="auto" w:fill="auto"/>
            <w:noWrap/>
            <w:vAlign w:val="center"/>
          </w:tcPr>
          <w:p w14:paraId="1C3CE07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97" w:type="dxa"/>
            <w:gridSpan w:val="5"/>
            <w:tcBorders>
              <w:top w:val="nil"/>
              <w:left w:val="nil"/>
              <w:bottom w:val="nil"/>
              <w:right w:val="nil"/>
            </w:tcBorders>
            <w:shd w:val="clear" w:color="auto" w:fill="auto"/>
            <w:noWrap/>
            <w:vAlign w:val="center"/>
          </w:tcPr>
          <w:p w14:paraId="1273EBA9">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建卡日期：     </w:t>
            </w:r>
          </w:p>
        </w:tc>
      </w:tr>
      <w:tr w14:paraId="6212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2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22A5">
            <w:pPr>
              <w:keepNext w:val="0"/>
              <w:keepLines w:val="0"/>
              <w:widowControl/>
              <w:suppressLineNumbers w:val="0"/>
              <w:jc w:val="center"/>
              <w:textAlignment w:val="center"/>
              <w:rPr>
                <w:rFonts w:hint="eastAsia" w:ascii="宋体" w:hAnsi="宋体" w:eastAsia="宋体" w:cs="宋体"/>
                <w:i w:val="0"/>
                <w:iCs w:val="0"/>
                <w:color w:val="000000" w:themeColor="text1"/>
                <w:sz w:val="32"/>
                <w:szCs w:val="32"/>
                <w:u w:val="none"/>
                <w14:textFill>
                  <w14:solidFill>
                    <w14:schemeClr w14:val="tx1"/>
                  </w14:solidFill>
                </w14:textFill>
              </w:rPr>
            </w:pPr>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t>固定资产基本信息</w:t>
            </w:r>
          </w:p>
        </w:tc>
      </w:tr>
      <w:tr w14:paraId="052E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5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4B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资产类别</w:t>
            </w:r>
          </w:p>
        </w:tc>
        <w:tc>
          <w:tcPr>
            <w:tcW w:w="16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3E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0E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资产名称</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2A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B26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5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D6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16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DA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2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规格型号</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90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9CE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5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BF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主要部件</w:t>
            </w:r>
          </w:p>
        </w:tc>
        <w:tc>
          <w:tcPr>
            <w:tcW w:w="509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61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372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5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D0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金额（元）</w:t>
            </w:r>
          </w:p>
        </w:tc>
        <w:tc>
          <w:tcPr>
            <w:tcW w:w="16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98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86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资产来源</w:t>
            </w: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51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323D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5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55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采购时间</w:t>
            </w:r>
          </w:p>
        </w:tc>
        <w:tc>
          <w:tcPr>
            <w:tcW w:w="16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43C3">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4B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B97B">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BBD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2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6F4B">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固定资产移交记录</w:t>
            </w:r>
          </w:p>
        </w:tc>
      </w:tr>
      <w:tr w14:paraId="5EB5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82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时间</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93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事由</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7B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接收部门</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7F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移交人</w:t>
            </w:r>
          </w:p>
        </w:tc>
        <w:tc>
          <w:tcPr>
            <w:tcW w:w="1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E9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接收人</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36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办公室审核</w:t>
            </w:r>
          </w:p>
        </w:tc>
      </w:tr>
      <w:tr w14:paraId="4285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DDB0">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B89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E627">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1345">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21B2">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792C">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FB9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406D">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3085">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259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75F8">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A27A">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D95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51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369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B9F7">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3CCA">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98E6">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A83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CBB0">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A28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2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1C35">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固定资产维修记录</w:t>
            </w:r>
          </w:p>
        </w:tc>
      </w:tr>
      <w:tr w14:paraId="13CC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3D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维修时间</w:t>
            </w:r>
          </w:p>
        </w:tc>
        <w:tc>
          <w:tcPr>
            <w:tcW w:w="47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68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维修详情</w:t>
            </w:r>
          </w:p>
        </w:tc>
        <w:tc>
          <w:tcPr>
            <w:tcW w:w="1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82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维修费用</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53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承办人</w:t>
            </w:r>
          </w:p>
        </w:tc>
      </w:tr>
      <w:tr w14:paraId="083A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052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47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F950">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EF6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610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B03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AA9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47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A8C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059C">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197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1113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6678">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47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A6C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C03D">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48F7">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E15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2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1658414D">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固定资产报废处置记录</w:t>
            </w:r>
          </w:p>
        </w:tc>
      </w:tr>
      <w:tr w14:paraId="53EC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3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F50BE6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报废时间</w:t>
            </w:r>
          </w:p>
        </w:tc>
        <w:tc>
          <w:tcPr>
            <w:tcW w:w="2464"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A727B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报废处置方式</w:t>
            </w:r>
          </w:p>
        </w:tc>
        <w:tc>
          <w:tcPr>
            <w:tcW w:w="122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56AAEAF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承办人</w:t>
            </w:r>
          </w:p>
        </w:tc>
        <w:tc>
          <w:tcPr>
            <w:tcW w:w="1550"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573FDC0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财务审核</w:t>
            </w:r>
          </w:p>
        </w:tc>
        <w:tc>
          <w:tcPr>
            <w:tcW w:w="2043"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7A13EB1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办公室审核</w:t>
            </w:r>
          </w:p>
        </w:tc>
      </w:tr>
      <w:tr w14:paraId="6EAC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E9A2C5">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03D25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2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7AAFCB">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5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6F5EBB">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EEA1C9">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514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2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4C2FA588">
            <w:pP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（此卡一式两份：</w:t>
            </w:r>
            <w:r>
              <w:rPr>
                <w:rFonts w:hint="eastAsia" w:cs="宋体"/>
                <w:i w:val="0"/>
                <w:iCs w:val="0"/>
                <w:color w:val="000000" w:themeColor="text1"/>
                <w:kern w:val="0"/>
                <w:sz w:val="20"/>
                <w:szCs w:val="20"/>
                <w:u w:val="none"/>
                <w:lang w:val="en-US" w:eastAsia="zh-CN" w:bidi="ar"/>
                <w14:textFill>
                  <w14:solidFill>
                    <w14:schemeClr w14:val="tx1"/>
                  </w14:solidFill>
                </w14:textFill>
              </w:rPr>
              <w:t>综合部门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、责任部门各一份）</w:t>
            </w:r>
          </w:p>
        </w:tc>
      </w:tr>
    </w:tbl>
    <w:p w14:paraId="6693961B">
      <w:pPr>
        <w:pStyle w:val="6"/>
        <w:numPr>
          <w:ilvl w:val="-1"/>
          <w:numId w:val="0"/>
        </w:numPr>
        <w:rPr>
          <w:rFonts w:hint="default" w:ascii="黑体" w:hAnsi="黑体" w:eastAsia="黑体" w:cs="黑体"/>
          <w:color w:val="000000" w:themeColor="text1"/>
          <w:sz w:val="32"/>
          <w:szCs w:val="32"/>
          <w:lang w:val="en-US" w:eastAsia="zh-CN"/>
          <w14:textFill>
            <w14:solidFill>
              <w14:schemeClr w14:val="tx1"/>
            </w14:solidFill>
          </w14:textFill>
        </w:rPr>
        <w:sectPr>
          <w:footerReference r:id="rId5" w:type="default"/>
          <w:pgSz w:w="11906" w:h="16838"/>
          <w:pgMar w:top="1803" w:right="1440" w:bottom="1803" w:left="1440" w:header="851" w:footer="992" w:gutter="0"/>
          <w:pgNumType w:fmt="numberInDash"/>
          <w:cols w:space="425" w:num="1"/>
          <w:docGrid w:type="lines" w:linePitch="312" w:charSpace="0"/>
        </w:sectPr>
      </w:pPr>
    </w:p>
    <w:p w14:paraId="534DCCBB">
      <w:pPr>
        <w:pStyle w:val="6"/>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p>
    <w:p w14:paraId="463AA01A">
      <w:pPr>
        <w:pStyle w:val="6"/>
        <w:numPr>
          <w:ilvl w:val="-1"/>
          <w:numId w:val="0"/>
        </w:num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14:paraId="4D34661A">
      <w:pPr>
        <w:pStyle w:val="6"/>
        <w:numPr>
          <w:ilvl w:val="-1"/>
          <w:numId w:val="0"/>
        </w:numPr>
        <w:rPr>
          <w:rFonts w:hint="eastAsia" w:ascii="黑体" w:hAnsi="黑体" w:eastAsia="黑体" w:cs="黑体"/>
          <w:color w:val="000000" w:themeColor="text1"/>
          <w:sz w:val="32"/>
          <w:szCs w:val="32"/>
          <w:lang w:val="en-US" w:eastAsia="zh-CN"/>
          <w14:textFill>
            <w14:solidFill>
              <w14:schemeClr w14:val="tx1"/>
            </w14:solidFill>
          </w14:textFill>
        </w:rPr>
      </w:pPr>
    </w:p>
    <w:p w14:paraId="52DAC9B1">
      <w:pPr>
        <w:spacing w:line="600" w:lineRule="exact"/>
        <w:jc w:val="center"/>
        <w:rPr>
          <w:rFonts w:hint="eastAsia" w:ascii="方正小标宋_GBK" w:hAnsi="方正小标宋_GBK" w:eastAsia="方正小标宋_GBK" w:cs="方正小标宋_GBK"/>
          <w:b w:val="0"/>
          <w:bCs/>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lang w:eastAsia="zh-CN"/>
          <w14:textFill>
            <w14:solidFill>
              <w14:schemeClr w14:val="tx1"/>
            </w14:solidFill>
          </w14:textFill>
        </w:rPr>
        <w:t>江西</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省红十字</w:t>
      </w:r>
      <w:r>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t>基金</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会</w:t>
      </w:r>
      <w:r>
        <w:rPr>
          <w:rFonts w:hint="eastAsia" w:ascii="方正小标宋_GBK" w:hAnsi="方正小标宋_GBK" w:eastAsia="方正小标宋_GBK" w:cs="方正小标宋_GBK"/>
          <w:b w:val="0"/>
          <w:bCs/>
          <w:color w:val="000000" w:themeColor="text1"/>
          <w:sz w:val="44"/>
          <w:szCs w:val="44"/>
          <w:lang w:eastAsia="zh-CN"/>
          <w14:textFill>
            <w14:solidFill>
              <w14:schemeClr w14:val="tx1"/>
            </w14:solidFill>
          </w14:textFill>
        </w:rPr>
        <w:t>固定资产</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采购</w:t>
      </w:r>
      <w:r>
        <w:rPr>
          <w:rFonts w:hint="eastAsia" w:ascii="方正小标宋_GBK" w:hAnsi="方正小标宋_GBK" w:eastAsia="方正小标宋_GBK" w:cs="方正小标宋_GBK"/>
          <w:b w:val="0"/>
          <w:bCs/>
          <w:color w:val="000000" w:themeColor="text1"/>
          <w:sz w:val="44"/>
          <w:szCs w:val="44"/>
          <w:lang w:eastAsia="zh-CN"/>
          <w14:textFill>
            <w14:solidFill>
              <w14:schemeClr w14:val="tx1"/>
            </w14:solidFill>
          </w14:textFill>
        </w:rPr>
        <w:t>（维修）</w:t>
      </w:r>
    </w:p>
    <w:p w14:paraId="42595E87">
      <w:pPr>
        <w:spacing w:line="600" w:lineRule="exact"/>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申请</w:t>
      </w:r>
      <w:r>
        <w:rPr>
          <w:rFonts w:hint="eastAsia" w:ascii="方正小标宋_GBK" w:hAnsi="方正小标宋_GBK" w:eastAsia="方正小标宋_GBK" w:cs="方正小标宋_GBK"/>
          <w:b w:val="0"/>
          <w:bCs/>
          <w:color w:val="000000" w:themeColor="text1"/>
          <w:sz w:val="44"/>
          <w:szCs w:val="44"/>
          <w:lang w:eastAsia="zh-CN"/>
          <w14:textFill>
            <w14:solidFill>
              <w14:schemeClr w14:val="tx1"/>
            </w14:solidFill>
          </w14:textFill>
        </w:rPr>
        <w:t>表</w:t>
      </w:r>
    </w:p>
    <w:tbl>
      <w:tblPr>
        <w:tblStyle w:val="10"/>
        <w:tblpPr w:leftFromText="180" w:rightFromText="180" w:vertAnchor="text" w:horzAnchor="page" w:tblpX="1449" w:tblpY="564"/>
        <w:tblOverlap w:val="never"/>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46"/>
        <w:gridCol w:w="1490"/>
        <w:gridCol w:w="1157"/>
        <w:gridCol w:w="1464"/>
        <w:gridCol w:w="825"/>
        <w:gridCol w:w="1386"/>
      </w:tblGrid>
      <w:tr w14:paraId="17CE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440" w:type="dxa"/>
            <w:noWrap w:val="0"/>
            <w:vAlign w:val="center"/>
          </w:tcPr>
          <w:p w14:paraId="1AA5F533">
            <w:pPr>
              <w:jc w:val="center"/>
              <w:rPr>
                <w:rFonts w:hint="eastAsia" w:ascii="仿宋_GB2312" w:eastAsia="仿宋_GB2312"/>
                <w:color w:val="000000" w:themeColor="text1"/>
                <w:sz w:val="28"/>
                <w:highlight w:val="yellow"/>
                <w14:textFill>
                  <w14:solidFill>
                    <w14:schemeClr w14:val="tx1"/>
                  </w14:solidFill>
                </w14:textFill>
              </w:rPr>
            </w:pPr>
            <w:r>
              <w:rPr>
                <w:rFonts w:hint="eastAsia" w:ascii="仿宋_GB2312" w:eastAsia="仿宋_GB2312"/>
                <w:color w:val="000000" w:themeColor="text1"/>
                <w:sz w:val="28"/>
                <w:highlight w:val="yellow"/>
                <w14:textFill>
                  <w14:solidFill>
                    <w14:schemeClr w14:val="tx1"/>
                  </w14:solidFill>
                </w14:textFill>
              </w:rPr>
              <w:t>申</w:t>
            </w:r>
            <w:r>
              <w:rPr>
                <w:rFonts w:hint="eastAsia" w:ascii="仿宋_GB2312" w:eastAsia="仿宋_GB2312"/>
                <w:color w:val="000000" w:themeColor="text1"/>
                <w:sz w:val="28"/>
                <w:highlight w:val="yellow"/>
                <w:lang w:eastAsia="zh-CN"/>
                <w14:textFill>
                  <w14:solidFill>
                    <w14:schemeClr w14:val="tx1"/>
                  </w14:solidFill>
                </w14:textFill>
              </w:rPr>
              <w:t>请</w:t>
            </w:r>
            <w:r>
              <w:rPr>
                <w:rFonts w:hint="eastAsia" w:ascii="仿宋_GB2312" w:eastAsia="仿宋_GB2312"/>
                <w:color w:val="000000" w:themeColor="text1"/>
                <w:sz w:val="28"/>
                <w:highlight w:val="yellow"/>
                <w14:textFill>
                  <w14:solidFill>
                    <w14:schemeClr w14:val="tx1"/>
                  </w14:solidFill>
                </w14:textFill>
              </w:rPr>
              <w:t>部门</w:t>
            </w:r>
          </w:p>
        </w:tc>
        <w:tc>
          <w:tcPr>
            <w:tcW w:w="1546" w:type="dxa"/>
            <w:noWrap w:val="0"/>
            <w:vAlign w:val="center"/>
          </w:tcPr>
          <w:p w14:paraId="19FA0B87">
            <w:pPr>
              <w:jc w:val="center"/>
              <w:rPr>
                <w:rFonts w:hint="eastAsia" w:ascii="仿宋_GB2312" w:eastAsia="仿宋_GB2312"/>
                <w:color w:val="000000" w:themeColor="text1"/>
                <w:sz w:val="28"/>
                <w:highlight w:val="yellow"/>
                <w:lang w:val="en-US" w:eastAsia="zh-CN"/>
                <w14:textFill>
                  <w14:solidFill>
                    <w14:schemeClr w14:val="tx1"/>
                  </w14:solidFill>
                </w14:textFill>
              </w:rPr>
            </w:pPr>
          </w:p>
        </w:tc>
        <w:tc>
          <w:tcPr>
            <w:tcW w:w="1490" w:type="dxa"/>
            <w:noWrap w:val="0"/>
            <w:vAlign w:val="center"/>
          </w:tcPr>
          <w:p w14:paraId="47CF0225">
            <w:pPr>
              <w:jc w:val="center"/>
              <w:rPr>
                <w:rFonts w:hint="eastAsia" w:ascii="仿宋_GB2312" w:eastAsia="仿宋_GB2312"/>
                <w:color w:val="000000" w:themeColor="text1"/>
                <w:sz w:val="28"/>
                <w:highlight w:val="yellow"/>
                <w14:textFill>
                  <w14:solidFill>
                    <w14:schemeClr w14:val="tx1"/>
                  </w14:solidFill>
                </w14:textFill>
              </w:rPr>
            </w:pPr>
            <w:r>
              <w:rPr>
                <w:rFonts w:hint="eastAsia" w:ascii="仿宋_GB2312" w:eastAsia="仿宋_GB2312"/>
                <w:color w:val="000000" w:themeColor="text1"/>
                <w:sz w:val="28"/>
                <w:highlight w:val="yellow"/>
                <w14:textFill>
                  <w14:solidFill>
                    <w14:schemeClr w14:val="tx1"/>
                  </w14:solidFill>
                </w14:textFill>
              </w:rPr>
              <w:t>申请人</w:t>
            </w:r>
          </w:p>
        </w:tc>
        <w:tc>
          <w:tcPr>
            <w:tcW w:w="1157" w:type="dxa"/>
            <w:noWrap w:val="0"/>
            <w:vAlign w:val="center"/>
          </w:tcPr>
          <w:p w14:paraId="5B619FEF">
            <w:pPr>
              <w:jc w:val="center"/>
              <w:rPr>
                <w:rFonts w:hint="eastAsia" w:ascii="仿宋_GB2312" w:eastAsia="仿宋_GB2312"/>
                <w:color w:val="000000" w:themeColor="text1"/>
                <w:sz w:val="28"/>
                <w:highlight w:val="yellow"/>
                <w:lang w:val="en-US" w:eastAsia="zh-CN"/>
                <w14:textFill>
                  <w14:solidFill>
                    <w14:schemeClr w14:val="tx1"/>
                  </w14:solidFill>
                </w14:textFill>
              </w:rPr>
            </w:pPr>
          </w:p>
        </w:tc>
        <w:tc>
          <w:tcPr>
            <w:tcW w:w="1464" w:type="dxa"/>
            <w:noWrap w:val="0"/>
            <w:vAlign w:val="center"/>
          </w:tcPr>
          <w:p w14:paraId="7DD361EC">
            <w:pPr>
              <w:jc w:val="center"/>
              <w:rPr>
                <w:rFonts w:hint="eastAsia" w:ascii="仿宋_GB2312" w:eastAsia="仿宋_GB2312"/>
                <w:color w:val="000000" w:themeColor="text1"/>
                <w:sz w:val="28"/>
                <w:highlight w:val="yellow"/>
                <w14:textFill>
                  <w14:solidFill>
                    <w14:schemeClr w14:val="tx1"/>
                  </w14:solidFill>
                </w14:textFill>
              </w:rPr>
            </w:pPr>
            <w:r>
              <w:rPr>
                <w:rFonts w:hint="eastAsia" w:ascii="仿宋_GB2312" w:eastAsia="仿宋_GB2312"/>
                <w:color w:val="000000" w:themeColor="text1"/>
                <w:sz w:val="28"/>
                <w:highlight w:val="yellow"/>
                <w14:textFill>
                  <w14:solidFill>
                    <w14:schemeClr w14:val="tx1"/>
                  </w14:solidFill>
                </w14:textFill>
              </w:rPr>
              <w:t>申请日期</w:t>
            </w:r>
          </w:p>
        </w:tc>
        <w:tc>
          <w:tcPr>
            <w:tcW w:w="2211" w:type="dxa"/>
            <w:gridSpan w:val="2"/>
            <w:noWrap w:val="0"/>
            <w:vAlign w:val="center"/>
          </w:tcPr>
          <w:p w14:paraId="36EA0ABE">
            <w:pPr>
              <w:jc w:val="center"/>
              <w:rPr>
                <w:rFonts w:hint="default" w:ascii="仿宋_GB2312" w:eastAsia="仿宋_GB2312"/>
                <w:color w:val="000000" w:themeColor="text1"/>
                <w:w w:val="90"/>
                <w:sz w:val="28"/>
                <w:highlight w:val="yellow"/>
                <w:lang w:val="en-US" w:eastAsia="zh-CN"/>
                <w14:textFill>
                  <w14:solidFill>
                    <w14:schemeClr w14:val="tx1"/>
                  </w14:solidFill>
                </w14:textFill>
              </w:rPr>
            </w:pPr>
          </w:p>
        </w:tc>
      </w:tr>
      <w:tr w14:paraId="1699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2986" w:type="dxa"/>
            <w:gridSpan w:val="2"/>
            <w:noWrap w:val="0"/>
            <w:vAlign w:val="top"/>
          </w:tcPr>
          <w:p w14:paraId="024D252E">
            <w:pPr>
              <w:rPr>
                <w:rFonts w:hint="eastAsia" w:ascii="仿宋_GB2312" w:eastAsia="仿宋_GB2312"/>
                <w:color w:val="000000" w:themeColor="text1"/>
                <w:sz w:val="28"/>
                <w:highlight w:val="yellow"/>
                <w:lang w:eastAsia="zh-CN"/>
                <w14:textFill>
                  <w14:solidFill>
                    <w14:schemeClr w14:val="tx1"/>
                  </w14:solidFill>
                </w14:textFill>
              </w:rPr>
            </w:pPr>
            <w:r>
              <w:rPr>
                <w:rFonts w:hint="eastAsia" w:ascii="仿宋_GB2312" w:eastAsia="仿宋_GB2312"/>
                <w:color w:val="000000" w:themeColor="text1"/>
                <w:sz w:val="28"/>
                <w:highlight w:val="yellow"/>
                <w14:textFill>
                  <w14:solidFill>
                    <w14:schemeClr w14:val="tx1"/>
                  </w14:solidFill>
                </w14:textFill>
              </w:rPr>
              <w:t>申</w:t>
            </w:r>
            <w:r>
              <w:rPr>
                <w:rFonts w:hint="eastAsia" w:ascii="仿宋_GB2312" w:eastAsia="仿宋_GB2312"/>
                <w:color w:val="000000" w:themeColor="text1"/>
                <w:sz w:val="28"/>
                <w:highlight w:val="yellow"/>
                <w:lang w:eastAsia="zh-CN"/>
                <w14:textFill>
                  <w14:solidFill>
                    <w14:schemeClr w14:val="tx1"/>
                  </w14:solidFill>
                </w14:textFill>
              </w:rPr>
              <w:t>请</w:t>
            </w:r>
            <w:r>
              <w:rPr>
                <w:rFonts w:hint="eastAsia" w:ascii="仿宋_GB2312" w:eastAsia="仿宋_GB2312"/>
                <w:color w:val="000000" w:themeColor="text1"/>
                <w:sz w:val="28"/>
                <w:highlight w:val="yellow"/>
                <w14:textFill>
                  <w14:solidFill>
                    <w14:schemeClr w14:val="tx1"/>
                  </w14:solidFill>
                </w14:textFill>
              </w:rPr>
              <w:t>事由</w:t>
            </w:r>
            <w:r>
              <w:rPr>
                <w:rFonts w:hint="eastAsia" w:ascii="仿宋_GB2312" w:eastAsia="仿宋_GB2312"/>
                <w:color w:val="000000" w:themeColor="text1"/>
                <w:sz w:val="28"/>
                <w:highlight w:val="yellow"/>
                <w:lang w:eastAsia="zh-CN"/>
                <w14:textFill>
                  <w14:solidFill>
                    <w14:schemeClr w14:val="tx1"/>
                  </w14:solidFill>
                </w14:textFill>
              </w:rPr>
              <w:t>：</w:t>
            </w:r>
          </w:p>
          <w:p w14:paraId="133CFD19">
            <w:pPr>
              <w:rPr>
                <w:rFonts w:hint="eastAsia" w:ascii="仿宋_GB2312" w:eastAsia="仿宋_GB2312"/>
                <w:color w:val="000000" w:themeColor="text1"/>
                <w:sz w:val="28"/>
                <w:highlight w:val="yellow"/>
                <w:lang w:eastAsia="zh-CN"/>
                <w14:textFill>
                  <w14:solidFill>
                    <w14:schemeClr w14:val="tx1"/>
                  </w14:solidFill>
                </w14:textFill>
              </w:rPr>
            </w:pPr>
          </w:p>
        </w:tc>
        <w:tc>
          <w:tcPr>
            <w:tcW w:w="4111" w:type="dxa"/>
            <w:gridSpan w:val="3"/>
            <w:noWrap w:val="0"/>
            <w:vAlign w:val="top"/>
          </w:tcPr>
          <w:p w14:paraId="72B0AF55">
            <w:pPr>
              <w:ind w:left="-361" w:leftChars="-164" w:firstLine="344" w:firstLineChars="123"/>
              <w:rPr>
                <w:rFonts w:hint="eastAsia" w:ascii="仿宋_GB2312" w:hAnsi="Times New Roman" w:eastAsia="仿宋_GB2312" w:cs="Times New Roman"/>
                <w:b w:val="0"/>
                <w:color w:val="000000" w:themeColor="text1"/>
                <w:kern w:val="2"/>
                <w:sz w:val="28"/>
                <w:szCs w:val="20"/>
                <w:highlight w:val="yellow"/>
                <w:lang w:val="en-US" w:eastAsia="zh-CN" w:bidi="ar-SA"/>
                <w14:textFill>
                  <w14:solidFill>
                    <w14:schemeClr w14:val="tx1"/>
                  </w14:solidFill>
                </w14:textFill>
              </w:rPr>
            </w:pPr>
            <w:r>
              <w:rPr>
                <w:rFonts w:hint="eastAsia" w:ascii="仿宋_GB2312" w:hAnsi="Times New Roman" w:eastAsia="仿宋_GB2312" w:cs="Times New Roman"/>
                <w:b w:val="0"/>
                <w:color w:val="000000" w:themeColor="text1"/>
                <w:kern w:val="2"/>
                <w:sz w:val="28"/>
                <w:szCs w:val="20"/>
                <w:highlight w:val="yellow"/>
                <w:lang w:val="en-US" w:eastAsia="zh-CN" w:bidi="ar-SA"/>
                <w14:textFill>
                  <w14:solidFill>
                    <w14:schemeClr w14:val="tx1"/>
                  </w14:solidFill>
                </w14:textFill>
              </w:rPr>
              <w:t>申</w:t>
            </w:r>
            <w:r>
              <w:rPr>
                <w:rFonts w:hint="eastAsia" w:ascii="仿宋_GB2312" w:eastAsia="仿宋_GB2312" w:cs="Times New Roman"/>
                <w:b w:val="0"/>
                <w:color w:val="000000" w:themeColor="text1"/>
                <w:kern w:val="2"/>
                <w:sz w:val="28"/>
                <w:szCs w:val="20"/>
                <w:highlight w:val="yellow"/>
                <w:lang w:val="en-US" w:eastAsia="zh-CN" w:bidi="ar-SA"/>
                <w14:textFill>
                  <w14:solidFill>
                    <w14:schemeClr w14:val="tx1"/>
                  </w14:solidFill>
                </w14:textFill>
              </w:rPr>
              <w:t>请</w:t>
            </w:r>
            <w:r>
              <w:rPr>
                <w:rFonts w:hint="eastAsia" w:ascii="仿宋_GB2312" w:hAnsi="Times New Roman" w:eastAsia="仿宋_GB2312" w:cs="Times New Roman"/>
                <w:b w:val="0"/>
                <w:color w:val="000000" w:themeColor="text1"/>
                <w:kern w:val="2"/>
                <w:sz w:val="28"/>
                <w:szCs w:val="20"/>
                <w:highlight w:val="yellow"/>
                <w:lang w:val="en-US" w:eastAsia="zh-CN" w:bidi="ar-SA"/>
                <w14:textFill>
                  <w14:solidFill>
                    <w14:schemeClr w14:val="tx1"/>
                  </w14:solidFill>
                </w14:textFill>
              </w:rPr>
              <w:t>产品、规格、数量：</w:t>
            </w:r>
          </w:p>
          <w:p w14:paraId="1A2D2F66">
            <w:pPr>
              <w:ind w:left="-361" w:leftChars="-164" w:firstLine="344" w:firstLineChars="123"/>
              <w:rPr>
                <w:rFonts w:hint="eastAsia" w:ascii="仿宋_GB2312" w:hAnsi="Times New Roman" w:eastAsia="仿宋_GB2312" w:cs="Times New Roman"/>
                <w:b w:val="0"/>
                <w:color w:val="000000" w:themeColor="text1"/>
                <w:kern w:val="2"/>
                <w:sz w:val="28"/>
                <w:szCs w:val="20"/>
                <w:highlight w:val="yellow"/>
                <w:lang w:val="en-US" w:eastAsia="zh-CN" w:bidi="ar-SA"/>
                <w14:textFill>
                  <w14:solidFill>
                    <w14:schemeClr w14:val="tx1"/>
                  </w14:solidFill>
                </w14:textFill>
              </w:rPr>
            </w:pPr>
          </w:p>
        </w:tc>
        <w:tc>
          <w:tcPr>
            <w:tcW w:w="825" w:type="dxa"/>
            <w:noWrap w:val="0"/>
            <w:vAlign w:val="center"/>
          </w:tcPr>
          <w:p w14:paraId="55A329BE">
            <w:pPr>
              <w:jc w:val="center"/>
              <w:rPr>
                <w:rFonts w:hint="eastAsia" w:ascii="仿宋_GB2312" w:eastAsia="仿宋_GB2312"/>
                <w:color w:val="000000" w:themeColor="text1"/>
                <w:sz w:val="28"/>
                <w:highlight w:val="yellow"/>
                <w14:textFill>
                  <w14:solidFill>
                    <w14:schemeClr w14:val="tx1"/>
                  </w14:solidFill>
                </w14:textFill>
              </w:rPr>
            </w:pPr>
            <w:r>
              <w:rPr>
                <w:rFonts w:hint="eastAsia" w:ascii="仿宋_GB2312" w:eastAsia="仿宋_GB2312"/>
                <w:color w:val="000000" w:themeColor="text1"/>
                <w:sz w:val="28"/>
                <w:highlight w:val="yellow"/>
                <w14:textFill>
                  <w14:solidFill>
                    <w14:schemeClr w14:val="tx1"/>
                  </w14:solidFill>
                </w14:textFill>
              </w:rPr>
              <w:t>经费预测</w:t>
            </w:r>
          </w:p>
        </w:tc>
        <w:tc>
          <w:tcPr>
            <w:tcW w:w="1386" w:type="dxa"/>
            <w:noWrap w:val="0"/>
            <w:vAlign w:val="center"/>
          </w:tcPr>
          <w:p w14:paraId="7A6454D8">
            <w:pPr>
              <w:jc w:val="center"/>
              <w:rPr>
                <w:rFonts w:hint="default" w:ascii="仿宋_GB2312" w:eastAsia="仿宋_GB2312"/>
                <w:color w:val="000000" w:themeColor="text1"/>
                <w:sz w:val="28"/>
                <w:highlight w:val="yellow"/>
                <w:lang w:val="en-US" w:eastAsia="zh-CN"/>
                <w14:textFill>
                  <w14:solidFill>
                    <w14:schemeClr w14:val="tx1"/>
                  </w14:solidFill>
                </w14:textFill>
              </w:rPr>
            </w:pPr>
          </w:p>
        </w:tc>
      </w:tr>
      <w:tr w14:paraId="30D8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986" w:type="dxa"/>
            <w:gridSpan w:val="2"/>
            <w:noWrap w:val="0"/>
            <w:vAlign w:val="center"/>
          </w:tcPr>
          <w:p w14:paraId="23828555">
            <w:pPr>
              <w:jc w:val="center"/>
              <w:rPr>
                <w:rFonts w:hint="eastAsia" w:ascii="仿宋_GB2312" w:eastAsia="仿宋_GB2312"/>
                <w:color w:val="000000" w:themeColor="text1"/>
                <w:sz w:val="28"/>
                <w:highlight w:val="yellow"/>
                <w14:textFill>
                  <w14:solidFill>
                    <w14:schemeClr w14:val="tx1"/>
                  </w14:solidFill>
                </w14:textFill>
              </w:rPr>
            </w:pPr>
            <w:r>
              <w:rPr>
                <w:rFonts w:hint="eastAsia" w:ascii="仿宋_GB2312" w:eastAsia="仿宋_GB2312"/>
                <w:color w:val="000000" w:themeColor="text1"/>
                <w:sz w:val="28"/>
                <w:highlight w:val="yellow"/>
                <w14:textFill>
                  <w14:solidFill>
                    <w14:schemeClr w14:val="tx1"/>
                  </w14:solidFill>
                </w14:textFill>
              </w:rPr>
              <w:t>部门领导</w:t>
            </w:r>
            <w:r>
              <w:rPr>
                <w:rFonts w:hint="eastAsia" w:ascii="仿宋_GB2312" w:eastAsia="仿宋_GB2312"/>
                <w:color w:val="000000" w:themeColor="text1"/>
                <w:sz w:val="28"/>
                <w:highlight w:val="yellow"/>
                <w:lang w:val="en-US" w:eastAsia="zh-CN"/>
                <w14:textFill>
                  <w14:solidFill>
                    <w14:schemeClr w14:val="tx1"/>
                  </w14:solidFill>
                </w14:textFill>
              </w:rPr>
              <w:t>意见</w:t>
            </w:r>
            <w:r>
              <w:rPr>
                <w:rFonts w:hint="eastAsia" w:ascii="仿宋_GB2312" w:eastAsia="仿宋_GB2312"/>
                <w:color w:val="000000" w:themeColor="text1"/>
                <w:sz w:val="28"/>
                <w:highlight w:val="yellow"/>
                <w14:textFill>
                  <w14:solidFill>
                    <w14:schemeClr w14:val="tx1"/>
                  </w14:solidFill>
                </w14:textFill>
              </w:rPr>
              <w:t>：</w:t>
            </w:r>
          </w:p>
        </w:tc>
        <w:tc>
          <w:tcPr>
            <w:tcW w:w="6322" w:type="dxa"/>
            <w:gridSpan w:val="5"/>
            <w:noWrap w:val="0"/>
            <w:vAlign w:val="center"/>
          </w:tcPr>
          <w:p w14:paraId="618C1CC5">
            <w:pPr>
              <w:jc w:val="center"/>
              <w:rPr>
                <w:rFonts w:hint="eastAsia" w:ascii="仿宋_GB2312" w:eastAsia="仿宋_GB2312"/>
                <w:color w:val="000000" w:themeColor="text1"/>
                <w:sz w:val="28"/>
                <w:highlight w:val="yellow"/>
                <w14:textFill>
                  <w14:solidFill>
                    <w14:schemeClr w14:val="tx1"/>
                  </w14:solidFill>
                </w14:textFill>
              </w:rPr>
            </w:pPr>
          </w:p>
        </w:tc>
      </w:tr>
      <w:tr w14:paraId="6AAF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2986" w:type="dxa"/>
            <w:gridSpan w:val="2"/>
            <w:noWrap w:val="0"/>
            <w:vAlign w:val="center"/>
          </w:tcPr>
          <w:p w14:paraId="454BB17E">
            <w:pPr>
              <w:jc w:val="center"/>
              <w:rPr>
                <w:rFonts w:hint="eastAsia" w:ascii="仿宋_GB2312" w:eastAsia="仿宋_GB2312"/>
                <w:color w:val="000000" w:themeColor="text1"/>
                <w:sz w:val="28"/>
                <w:highlight w:val="yellow"/>
                <w14:textFill>
                  <w14:solidFill>
                    <w14:schemeClr w14:val="tx1"/>
                  </w14:solidFill>
                </w14:textFill>
              </w:rPr>
            </w:pPr>
            <w:r>
              <w:rPr>
                <w:rFonts w:hint="eastAsia" w:ascii="仿宋_GB2312" w:eastAsia="仿宋_GB2312"/>
                <w:color w:val="000000" w:themeColor="text1"/>
                <w:sz w:val="28"/>
                <w:highlight w:val="yellow"/>
                <w:lang w:eastAsia="zh-CN"/>
                <w14:textFill>
                  <w14:solidFill>
                    <w14:schemeClr w14:val="tx1"/>
                  </w14:solidFill>
                </w14:textFill>
              </w:rPr>
              <w:t>综合部意见</w:t>
            </w:r>
            <w:r>
              <w:rPr>
                <w:rFonts w:hint="eastAsia" w:ascii="仿宋_GB2312" w:eastAsia="仿宋_GB2312"/>
                <w:color w:val="000000" w:themeColor="text1"/>
                <w:sz w:val="28"/>
                <w:highlight w:val="yellow"/>
                <w14:textFill>
                  <w14:solidFill>
                    <w14:schemeClr w14:val="tx1"/>
                  </w14:solidFill>
                </w14:textFill>
              </w:rPr>
              <w:t>：</w:t>
            </w:r>
          </w:p>
        </w:tc>
        <w:tc>
          <w:tcPr>
            <w:tcW w:w="6322" w:type="dxa"/>
            <w:gridSpan w:val="5"/>
            <w:noWrap w:val="0"/>
            <w:vAlign w:val="center"/>
          </w:tcPr>
          <w:p w14:paraId="67E420C5">
            <w:pPr>
              <w:jc w:val="center"/>
              <w:rPr>
                <w:rFonts w:hint="eastAsia" w:ascii="仿宋_GB2312" w:eastAsia="仿宋_GB2312"/>
                <w:color w:val="000000" w:themeColor="text1"/>
                <w:sz w:val="28"/>
                <w:highlight w:val="yellow"/>
                <w:lang w:eastAsia="zh-CN"/>
                <w14:textFill>
                  <w14:solidFill>
                    <w14:schemeClr w14:val="tx1"/>
                  </w14:solidFill>
                </w14:textFill>
              </w:rPr>
            </w:pPr>
          </w:p>
        </w:tc>
      </w:tr>
      <w:tr w14:paraId="07BB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986" w:type="dxa"/>
            <w:gridSpan w:val="2"/>
            <w:noWrap w:val="0"/>
            <w:vAlign w:val="center"/>
          </w:tcPr>
          <w:p w14:paraId="34B4A70B">
            <w:pPr>
              <w:jc w:val="center"/>
              <w:rPr>
                <w:rFonts w:hint="eastAsia" w:ascii="仿宋_GB2312" w:eastAsia="仿宋_GB2312"/>
                <w:color w:val="000000" w:themeColor="text1"/>
                <w:sz w:val="28"/>
                <w:highlight w:val="yellow"/>
                <w14:textFill>
                  <w14:solidFill>
                    <w14:schemeClr w14:val="tx1"/>
                  </w14:solidFill>
                </w14:textFill>
              </w:rPr>
            </w:pPr>
            <w:r>
              <w:rPr>
                <w:rFonts w:hint="eastAsia" w:ascii="仿宋_GB2312" w:eastAsia="仿宋_GB2312"/>
                <w:color w:val="000000" w:themeColor="text1"/>
                <w:sz w:val="28"/>
                <w:highlight w:val="yellow"/>
                <w:lang w:eastAsia="zh-CN"/>
                <w14:textFill>
                  <w14:solidFill>
                    <w14:schemeClr w14:val="tx1"/>
                  </w14:solidFill>
                </w14:textFill>
              </w:rPr>
              <w:t>秘书处意见</w:t>
            </w:r>
            <w:r>
              <w:rPr>
                <w:rFonts w:hint="eastAsia" w:ascii="仿宋_GB2312" w:eastAsia="仿宋_GB2312"/>
                <w:color w:val="000000" w:themeColor="text1"/>
                <w:sz w:val="28"/>
                <w:highlight w:val="yellow"/>
                <w14:textFill>
                  <w14:solidFill>
                    <w14:schemeClr w14:val="tx1"/>
                  </w14:solidFill>
                </w14:textFill>
              </w:rPr>
              <w:t>：</w:t>
            </w:r>
          </w:p>
        </w:tc>
        <w:tc>
          <w:tcPr>
            <w:tcW w:w="6322" w:type="dxa"/>
            <w:gridSpan w:val="5"/>
            <w:noWrap w:val="0"/>
            <w:vAlign w:val="center"/>
          </w:tcPr>
          <w:p w14:paraId="44B93C49">
            <w:pPr>
              <w:jc w:val="center"/>
              <w:rPr>
                <w:rFonts w:hint="eastAsia" w:ascii="仿宋_GB2312" w:eastAsia="仿宋_GB2312"/>
                <w:color w:val="000000" w:themeColor="text1"/>
                <w:sz w:val="28"/>
                <w:highlight w:val="yellow"/>
                <w:lang w:eastAsia="zh-CN"/>
                <w14:textFill>
                  <w14:solidFill>
                    <w14:schemeClr w14:val="tx1"/>
                  </w14:solidFill>
                </w14:textFill>
              </w:rPr>
            </w:pPr>
          </w:p>
        </w:tc>
      </w:tr>
      <w:tr w14:paraId="65BF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986" w:type="dxa"/>
            <w:gridSpan w:val="2"/>
            <w:noWrap w:val="0"/>
            <w:vAlign w:val="center"/>
          </w:tcPr>
          <w:p w14:paraId="663D5E94">
            <w:pPr>
              <w:jc w:val="center"/>
              <w:rPr>
                <w:rFonts w:hint="eastAsia" w:ascii="仿宋_GB2312" w:eastAsia="仿宋_GB2312"/>
                <w:color w:val="000000" w:themeColor="text1"/>
                <w:sz w:val="28"/>
                <w:highlight w:val="yellow"/>
                <w:lang w:eastAsia="zh-CN"/>
                <w14:textFill>
                  <w14:solidFill>
                    <w14:schemeClr w14:val="tx1"/>
                  </w14:solidFill>
                </w14:textFill>
              </w:rPr>
            </w:pPr>
            <w:r>
              <w:rPr>
                <w:rFonts w:hint="eastAsia" w:ascii="仿宋_GB2312" w:eastAsia="仿宋_GB2312"/>
                <w:color w:val="000000" w:themeColor="text1"/>
                <w:sz w:val="28"/>
                <w:highlight w:val="yellow"/>
                <w:lang w:eastAsia="zh-CN"/>
                <w14:textFill>
                  <w14:solidFill>
                    <w14:schemeClr w14:val="tx1"/>
                  </w14:solidFill>
                </w14:textFill>
              </w:rPr>
              <w:t>签收人及签收日期：</w:t>
            </w:r>
          </w:p>
        </w:tc>
        <w:tc>
          <w:tcPr>
            <w:tcW w:w="6322" w:type="dxa"/>
            <w:gridSpan w:val="5"/>
            <w:noWrap w:val="0"/>
            <w:vAlign w:val="center"/>
          </w:tcPr>
          <w:p w14:paraId="49310464">
            <w:pPr>
              <w:jc w:val="center"/>
              <w:rPr>
                <w:rFonts w:hint="eastAsia" w:ascii="仿宋_GB2312" w:eastAsia="仿宋_GB2312"/>
                <w:color w:val="000000" w:themeColor="text1"/>
                <w:sz w:val="28"/>
                <w:highlight w:val="yellow"/>
                <w:lang w:eastAsia="zh-CN"/>
                <w14:textFill>
                  <w14:solidFill>
                    <w14:schemeClr w14:val="tx1"/>
                  </w14:solidFill>
                </w14:textFill>
              </w:rPr>
            </w:pPr>
          </w:p>
        </w:tc>
      </w:tr>
    </w:tbl>
    <w:p w14:paraId="1F8546FE">
      <w:pPr>
        <w:pStyle w:val="6"/>
        <w:numPr>
          <w:ilvl w:val="-1"/>
          <w:numId w:val="0"/>
        </w:numPr>
        <w:rPr>
          <w:rFonts w:hint="default" w:ascii="黑体" w:hAnsi="黑体" w:eastAsia="黑体" w:cs="黑体"/>
          <w:color w:val="000000" w:themeColor="text1"/>
          <w:sz w:val="32"/>
          <w:szCs w:val="32"/>
          <w:lang w:val="en-US" w:eastAsia="zh-CN"/>
          <w14:textFill>
            <w14:solidFill>
              <w14:schemeClr w14:val="tx1"/>
            </w14:solidFill>
          </w14:textFill>
        </w:rPr>
        <w:sectPr>
          <w:pgSz w:w="11906" w:h="16838"/>
          <w:pgMar w:top="1803" w:right="1440" w:bottom="1803" w:left="1440" w:header="851" w:footer="992" w:gutter="0"/>
          <w:pgNumType w:fmt="numberInDash"/>
          <w:cols w:space="425" w:num="1"/>
          <w:docGrid w:type="lines" w:linePitch="312" w:charSpace="0"/>
        </w:sectPr>
      </w:pPr>
    </w:p>
    <w:p w14:paraId="329B81D0">
      <w:pPr>
        <w:pStyle w:val="6"/>
        <w:numPr>
          <w:ilvl w:val="-1"/>
          <w:numId w:val="0"/>
        </w:num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附件3</w:t>
      </w:r>
    </w:p>
    <w:p w14:paraId="1A225543">
      <w:pPr>
        <w:pStyle w:val="6"/>
        <w:numPr>
          <w:ilvl w:val="-1"/>
          <w:numId w:val="0"/>
        </w:numPr>
        <w:rPr>
          <w:rFonts w:hint="default" w:ascii="黑体" w:hAnsi="黑体" w:eastAsia="黑体" w:cs="黑体"/>
          <w:color w:val="000000" w:themeColor="text1"/>
          <w:sz w:val="32"/>
          <w:szCs w:val="32"/>
          <w:lang w:val="en-US" w:eastAsia="zh-CN"/>
          <w14:textFill>
            <w14:solidFill>
              <w14:schemeClr w14:val="tx1"/>
            </w14:solidFill>
          </w14:textFill>
        </w:rPr>
      </w:pPr>
    </w:p>
    <w:tbl>
      <w:tblPr>
        <w:tblStyle w:val="10"/>
        <w:tblW w:w="14463" w:type="dxa"/>
        <w:tblInd w:w="-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1113"/>
        <w:gridCol w:w="1062"/>
        <w:gridCol w:w="1038"/>
        <w:gridCol w:w="1150"/>
        <w:gridCol w:w="650"/>
        <w:gridCol w:w="550"/>
        <w:gridCol w:w="837"/>
        <w:gridCol w:w="838"/>
        <w:gridCol w:w="1100"/>
        <w:gridCol w:w="800"/>
        <w:gridCol w:w="1125"/>
        <w:gridCol w:w="1075"/>
        <w:gridCol w:w="762"/>
        <w:gridCol w:w="775"/>
        <w:gridCol w:w="850"/>
      </w:tblGrid>
      <w:tr w14:paraId="51FB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463" w:type="dxa"/>
            <w:gridSpan w:val="16"/>
            <w:tcBorders>
              <w:top w:val="nil"/>
              <w:left w:val="nil"/>
              <w:bottom w:val="nil"/>
              <w:right w:val="nil"/>
            </w:tcBorders>
            <w:shd w:val="clear" w:color="auto" w:fill="auto"/>
            <w:noWrap/>
            <w:vAlign w:val="center"/>
          </w:tcPr>
          <w:p w14:paraId="426B9F9B">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u w:val="none"/>
                <w14:textFill>
                  <w14:solidFill>
                    <w14:schemeClr w14:val="tx1"/>
                  </w14:solidFill>
                </w14:textFill>
              </w:rPr>
            </w:pPr>
            <w:r>
              <w:rPr>
                <w:rFonts w:hint="eastAsia" w:ascii="方正小标宋_GBK" w:hAnsi="方正小标宋_GBK" w:eastAsia="方正小标宋_GBK" w:cs="方正小标宋_GBK"/>
                <w:b w:val="0"/>
                <w:bCs w:val="0"/>
                <w:i w:val="0"/>
                <w:iCs w:val="0"/>
                <w:color w:val="000000" w:themeColor="text1"/>
                <w:kern w:val="0"/>
                <w:sz w:val="44"/>
                <w:szCs w:val="44"/>
                <w:u w:val="none"/>
                <w:lang w:val="en-US" w:eastAsia="zh-CN" w:bidi="ar"/>
                <w14:textFill>
                  <w14:solidFill>
                    <w14:schemeClr w14:val="tx1"/>
                  </w14:solidFill>
                </w14:textFill>
              </w:rPr>
              <w:t>江西省红十字基金会</w:t>
            </w:r>
            <w:r>
              <w:rPr>
                <w:rFonts w:hint="eastAsia" w:ascii="方正小标宋_GBK" w:hAnsi="方正小标宋_GBK" w:eastAsia="方正小标宋_GBK" w:cs="方正小标宋_GBK"/>
                <w:b w:val="0"/>
                <w:bCs w:val="0"/>
                <w:i w:val="0"/>
                <w:iCs w:val="0"/>
                <w:color w:val="000000" w:themeColor="text1"/>
                <w:kern w:val="0"/>
                <w:sz w:val="44"/>
                <w:szCs w:val="44"/>
                <w:u w:val="none"/>
                <w:lang w:val="en-US" w:eastAsia="zh-CN" w:bidi="ar"/>
                <w14:textFill>
                  <w14:solidFill>
                    <w14:schemeClr w14:val="tx1"/>
                  </w14:solidFill>
                </w14:textFill>
              </w:rPr>
              <w:t>XXX年</w:t>
            </w:r>
            <w:r>
              <w:rPr>
                <w:rFonts w:hint="eastAsia" w:ascii="方正小标宋_GBK" w:hAnsi="方正小标宋_GBK" w:eastAsia="方正小标宋_GBK" w:cs="方正小标宋_GBK"/>
                <w:b w:val="0"/>
                <w:bCs w:val="0"/>
                <w:i w:val="0"/>
                <w:iCs w:val="0"/>
                <w:color w:val="000000" w:themeColor="text1"/>
                <w:kern w:val="0"/>
                <w:sz w:val="44"/>
                <w:szCs w:val="44"/>
                <w:u w:val="none"/>
                <w:lang w:val="en-US" w:eastAsia="zh-CN" w:bidi="ar"/>
                <w14:textFill>
                  <w14:solidFill>
                    <w14:schemeClr w14:val="tx1"/>
                  </w14:solidFill>
                </w14:textFill>
              </w:rPr>
              <w:t>固定资产清查盘点表</w:t>
            </w:r>
          </w:p>
        </w:tc>
      </w:tr>
      <w:tr w14:paraId="7D6A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63" w:type="dxa"/>
            <w:gridSpan w:val="16"/>
            <w:tcBorders>
              <w:top w:val="nil"/>
              <w:left w:val="nil"/>
              <w:bottom w:val="nil"/>
              <w:right w:val="nil"/>
            </w:tcBorders>
            <w:shd w:val="clear" w:color="auto" w:fill="auto"/>
            <w:noWrap/>
            <w:vAlign w:val="center"/>
          </w:tcPr>
          <w:p w14:paraId="5314A87F">
            <w:pPr>
              <w:keepNext w:val="0"/>
              <w:keepLines w:val="0"/>
              <w:widowControl/>
              <w:suppressLineNumbers w:val="0"/>
              <w:jc w:val="left"/>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盘点时间：</w:t>
            </w:r>
            <w:r>
              <w:rPr>
                <w:rFonts w:hint="eastAsia" w:ascii="楷体" w:hAnsi="楷体" w:eastAsia="楷体" w:cs="楷体"/>
                <w:b w:val="0"/>
                <w:bCs w:val="0"/>
                <w:i w:val="0"/>
                <w:iCs w:val="0"/>
                <w:color w:val="000000" w:themeColor="text1"/>
                <w:kern w:val="0"/>
                <w:sz w:val="32"/>
                <w:szCs w:val="32"/>
                <w:u w:val="none"/>
                <w:lang w:val="en-US" w:eastAsia="zh-CN" w:bidi="ar"/>
                <w14:textFill>
                  <w14:solidFill>
                    <w14:schemeClr w14:val="tx1"/>
                  </w14:solidFill>
                </w14:textFill>
              </w:rPr>
              <w:t xml:space="preserve"> </w:t>
            </w:r>
          </w:p>
        </w:tc>
      </w:tr>
      <w:tr w14:paraId="4BF8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6A7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040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固定资产</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类别</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1CE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编号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B4E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837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规格型号</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C85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E5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单位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8C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单价（元）</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F32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1D7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购入时间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D5C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存放地点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23B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使用部门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922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612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盘点结果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F82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资产状态</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EF5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备注</w:t>
            </w:r>
          </w:p>
        </w:tc>
      </w:tr>
      <w:tr w14:paraId="5046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7D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E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10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63F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1BA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F95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A4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2C6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93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72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665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6D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AF9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415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9C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72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EB8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90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F3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2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6D8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7C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A73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ECD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8B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BC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B0D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B1C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D2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96D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934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23C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AC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65E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B7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13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D5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947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6EE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7A6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920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810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53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74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BE0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7C39">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8152">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C9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267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F2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7D9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56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63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2E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F46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327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7E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9FD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B1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FA4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187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2D0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F49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60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D9D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1F5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38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CB5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38" w:type="dxa"/>
            <w:gridSpan w:val="8"/>
            <w:tcBorders>
              <w:top w:val="single" w:color="000000" w:sz="4" w:space="0"/>
              <w:left w:val="single" w:color="000000" w:sz="4" w:space="0"/>
              <w:bottom w:val="single" w:color="auto" w:sz="4" w:space="0"/>
              <w:right w:val="single" w:color="000000" w:sz="4" w:space="0"/>
            </w:tcBorders>
            <w:shd w:val="clear" w:color="auto" w:fill="C6E0B4"/>
            <w:noWrap/>
            <w:vAlign w:val="center"/>
          </w:tcPr>
          <w:p w14:paraId="39DB9EC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    计</w:t>
            </w:r>
          </w:p>
        </w:tc>
        <w:tc>
          <w:tcPr>
            <w:tcW w:w="7325" w:type="dxa"/>
            <w:gridSpan w:val="8"/>
            <w:tcBorders>
              <w:top w:val="single" w:color="000000" w:sz="4" w:space="0"/>
              <w:left w:val="single" w:color="000000" w:sz="4" w:space="0"/>
              <w:bottom w:val="single" w:color="auto" w:sz="4" w:space="0"/>
              <w:right w:val="single" w:color="000000" w:sz="4" w:space="0"/>
            </w:tcBorders>
            <w:shd w:val="clear" w:color="auto" w:fill="C6E0B4"/>
            <w:noWrap/>
            <w:vAlign w:val="center"/>
          </w:tcPr>
          <w:p w14:paraId="30FEB7E4">
            <w:pPr>
              <w:jc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r>
      <w:tr w14:paraId="542B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463"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3344FDC">
            <w:pPr>
              <w:ind w:firstLine="2640" w:firstLineChars="1100"/>
              <w:jc w:val="left"/>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cs="宋体"/>
                <w:i w:val="0"/>
                <w:iCs w:val="0"/>
                <w:color w:val="000000" w:themeColor="text1"/>
                <w:kern w:val="0"/>
                <w:sz w:val="24"/>
                <w:szCs w:val="24"/>
                <w:u w:val="none"/>
                <w:lang w:val="en-US" w:eastAsia="zh-CN" w:bidi="ar"/>
                <w14:textFill>
                  <w14:solidFill>
                    <w14:schemeClr w14:val="tx1"/>
                  </w14:solidFill>
                </w14:textFill>
              </w:rPr>
              <w:t xml:space="preserve">综合部门：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w:t>
            </w:r>
            <w:r>
              <w:rPr>
                <w:rFonts w:hint="eastAsia" w:cs="宋体"/>
                <w:i w:val="0"/>
                <w:iCs w:val="0"/>
                <w:color w:val="000000" w:themeColor="text1"/>
                <w:kern w:val="0"/>
                <w:sz w:val="24"/>
                <w:szCs w:val="24"/>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w:t>
            </w:r>
            <w:r>
              <w:rPr>
                <w:rFonts w:hint="eastAsia" w:cs="宋体"/>
                <w:i w:val="0"/>
                <w:iCs w:val="0"/>
                <w:color w:val="000000" w:themeColor="text1"/>
                <w:kern w:val="0"/>
                <w:sz w:val="24"/>
                <w:szCs w:val="24"/>
                <w:u w:val="none"/>
                <w:lang w:val="en-US" w:eastAsia="zh-CN" w:bidi="ar"/>
                <w14:textFill>
                  <w14:solidFill>
                    <w14:schemeClr w14:val="tx1"/>
                  </w14:solidFill>
                </w14:textFill>
              </w:rPr>
              <w:t xml:space="preserve"> 财务部门：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w:t>
            </w:r>
          </w:p>
        </w:tc>
      </w:tr>
    </w:tbl>
    <w:p w14:paraId="11287A0F">
      <w:pPr>
        <w:pStyle w:val="6"/>
        <w:numPr>
          <w:ilvl w:val="-1"/>
          <w:numId w:val="0"/>
        </w:numPr>
        <w:rPr>
          <w:rFonts w:hint="default" w:ascii="黑体" w:hAnsi="黑体" w:eastAsia="黑体" w:cs="黑体"/>
          <w:b/>
          <w:bCs/>
          <w:color w:val="000000" w:themeColor="text1"/>
          <w:sz w:val="32"/>
          <w:szCs w:val="32"/>
          <w:lang w:val="en-US" w:eastAsia="zh-CN"/>
          <w14:textFill>
            <w14:solidFill>
              <w14:schemeClr w14:val="tx1"/>
            </w14:solidFill>
          </w14:textFill>
        </w:rPr>
        <w:sectPr>
          <w:pgSz w:w="16838" w:h="11906" w:orient="landscape"/>
          <w:pgMar w:top="1803" w:right="1440" w:bottom="1803" w:left="1440" w:header="851" w:footer="992" w:gutter="0"/>
          <w:pgNumType w:fmt="numberInDash"/>
          <w:cols w:space="425" w:num="1"/>
          <w:docGrid w:type="lines" w:linePitch="312" w:charSpace="0"/>
        </w:sectPr>
      </w:pPr>
    </w:p>
    <w:p w14:paraId="09B07324">
      <w:pPr>
        <w:spacing w:line="600" w:lineRule="exact"/>
        <w:jc w:val="left"/>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附件</w:t>
      </w:r>
      <w:r>
        <w:rPr>
          <w:rFonts w:hint="eastAsia" w:ascii="黑体" w:hAnsi="黑体" w:eastAsia="黑体" w:cs="黑体"/>
          <w:b w:val="0"/>
          <w:bCs/>
          <w:color w:val="000000" w:themeColor="text1"/>
          <w:sz w:val="32"/>
          <w:szCs w:val="32"/>
          <w:lang w:val="en-US" w:eastAsia="zh-CN"/>
          <w14:textFill>
            <w14:solidFill>
              <w14:schemeClr w14:val="tx1"/>
            </w14:solidFill>
          </w14:textFill>
        </w:rPr>
        <w:t>4</w:t>
      </w:r>
    </w:p>
    <w:p w14:paraId="6AC06602">
      <w:pPr>
        <w:spacing w:line="600" w:lineRule="exact"/>
        <w:jc w:val="center"/>
        <w:rPr>
          <w:rFonts w:hint="eastAsia" w:ascii="黑体" w:eastAsia="黑体"/>
          <w:b w:val="0"/>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lang w:eastAsia="zh-CN"/>
          <w14:textFill>
            <w14:solidFill>
              <w14:schemeClr w14:val="tx1"/>
            </w14:solidFill>
          </w14:textFill>
        </w:rPr>
        <w:t>江西</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省红十字</w:t>
      </w:r>
      <w:r>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t>基金</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会</w:t>
      </w:r>
      <w:r>
        <w:rPr>
          <w:rFonts w:hint="eastAsia" w:ascii="方正小标宋_GBK" w:hAnsi="方正小标宋_GBK" w:eastAsia="方正小标宋_GBK" w:cs="方正小标宋_GBK"/>
          <w:b w:val="0"/>
          <w:bCs/>
          <w:color w:val="000000" w:themeColor="text1"/>
          <w:kern w:val="0"/>
          <w:sz w:val="44"/>
          <w:szCs w:val="44"/>
          <w:highlight w:val="none"/>
          <w:lang w:val="en-US" w:eastAsia="zh-CN" w:bidi="ar-SA"/>
          <w14:textFill>
            <w14:solidFill>
              <w14:schemeClr w14:val="tx1"/>
            </w14:solidFill>
          </w14:textFill>
        </w:rPr>
        <w:t>固定资产处置申报审批表</w:t>
      </w:r>
    </w:p>
    <w:tbl>
      <w:tblPr>
        <w:tblStyle w:val="10"/>
        <w:tblpPr w:leftFromText="180" w:rightFromText="180" w:vertAnchor="text" w:horzAnchor="page" w:tblpX="1489" w:tblpY="396"/>
        <w:tblOverlap w:val="never"/>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46"/>
        <w:gridCol w:w="421"/>
        <w:gridCol w:w="1069"/>
        <w:gridCol w:w="898"/>
        <w:gridCol w:w="649"/>
        <w:gridCol w:w="1318"/>
        <w:gridCol w:w="242"/>
        <w:gridCol w:w="1725"/>
      </w:tblGrid>
      <w:tr w14:paraId="0AE6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40" w:type="dxa"/>
            <w:noWrap w:val="0"/>
            <w:vAlign w:val="center"/>
          </w:tcPr>
          <w:p w14:paraId="187645A8">
            <w:pPr>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申</w:t>
            </w:r>
            <w:r>
              <w:rPr>
                <w:rFonts w:hint="eastAsia" w:ascii="仿宋_GB2312" w:eastAsia="仿宋_GB2312"/>
                <w:color w:val="000000" w:themeColor="text1"/>
                <w:sz w:val="28"/>
                <w:lang w:eastAsia="zh-CN"/>
                <w14:textFill>
                  <w14:solidFill>
                    <w14:schemeClr w14:val="tx1"/>
                  </w14:solidFill>
                </w14:textFill>
              </w:rPr>
              <w:t>请</w:t>
            </w:r>
            <w:r>
              <w:rPr>
                <w:rFonts w:hint="eastAsia" w:ascii="仿宋_GB2312" w:eastAsia="仿宋_GB2312"/>
                <w:color w:val="000000" w:themeColor="text1"/>
                <w:sz w:val="28"/>
                <w14:textFill>
                  <w14:solidFill>
                    <w14:schemeClr w14:val="tx1"/>
                  </w14:solidFill>
                </w14:textFill>
              </w:rPr>
              <w:t>部门</w:t>
            </w:r>
          </w:p>
        </w:tc>
        <w:tc>
          <w:tcPr>
            <w:tcW w:w="1546" w:type="dxa"/>
            <w:noWrap w:val="0"/>
            <w:vAlign w:val="center"/>
          </w:tcPr>
          <w:p w14:paraId="00A35068">
            <w:pPr>
              <w:jc w:val="center"/>
              <w:rPr>
                <w:rFonts w:hint="eastAsia" w:ascii="仿宋_GB2312" w:eastAsia="仿宋_GB2312"/>
                <w:color w:val="000000" w:themeColor="text1"/>
                <w:sz w:val="28"/>
                <w:lang w:val="en-US" w:eastAsia="zh-CN"/>
                <w14:textFill>
                  <w14:solidFill>
                    <w14:schemeClr w14:val="tx1"/>
                  </w14:solidFill>
                </w14:textFill>
              </w:rPr>
            </w:pPr>
          </w:p>
        </w:tc>
        <w:tc>
          <w:tcPr>
            <w:tcW w:w="1490" w:type="dxa"/>
            <w:gridSpan w:val="2"/>
            <w:noWrap w:val="0"/>
            <w:vAlign w:val="center"/>
          </w:tcPr>
          <w:p w14:paraId="08DF6EE9">
            <w:pPr>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申请人</w:t>
            </w:r>
          </w:p>
        </w:tc>
        <w:tc>
          <w:tcPr>
            <w:tcW w:w="1547" w:type="dxa"/>
            <w:gridSpan w:val="2"/>
            <w:noWrap w:val="0"/>
            <w:vAlign w:val="center"/>
          </w:tcPr>
          <w:p w14:paraId="43E6CDFA">
            <w:pPr>
              <w:jc w:val="center"/>
              <w:rPr>
                <w:rFonts w:hint="eastAsia" w:ascii="仿宋_GB2312" w:eastAsia="仿宋_GB2312"/>
                <w:color w:val="000000" w:themeColor="text1"/>
                <w:sz w:val="28"/>
                <w:lang w:val="en-US" w:eastAsia="zh-CN"/>
                <w14:textFill>
                  <w14:solidFill>
                    <w14:schemeClr w14:val="tx1"/>
                  </w14:solidFill>
                </w14:textFill>
              </w:rPr>
            </w:pPr>
          </w:p>
        </w:tc>
        <w:tc>
          <w:tcPr>
            <w:tcW w:w="1560" w:type="dxa"/>
            <w:gridSpan w:val="2"/>
            <w:noWrap w:val="0"/>
            <w:vAlign w:val="center"/>
          </w:tcPr>
          <w:p w14:paraId="02A35893">
            <w:pPr>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申请日期</w:t>
            </w:r>
          </w:p>
        </w:tc>
        <w:tc>
          <w:tcPr>
            <w:tcW w:w="1725" w:type="dxa"/>
            <w:noWrap w:val="0"/>
            <w:vAlign w:val="center"/>
          </w:tcPr>
          <w:p w14:paraId="22F7CCE2">
            <w:pPr>
              <w:jc w:val="center"/>
              <w:rPr>
                <w:rFonts w:hint="default" w:ascii="仿宋_GB2312" w:eastAsia="仿宋_GB2312"/>
                <w:color w:val="000000" w:themeColor="text1"/>
                <w:w w:val="90"/>
                <w:sz w:val="28"/>
                <w:lang w:val="en-US" w:eastAsia="zh-CN"/>
                <w14:textFill>
                  <w14:solidFill>
                    <w14:schemeClr w14:val="tx1"/>
                  </w14:solidFill>
                </w14:textFill>
              </w:rPr>
            </w:pPr>
          </w:p>
        </w:tc>
      </w:tr>
      <w:tr w14:paraId="456B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40" w:type="dxa"/>
            <w:noWrap w:val="0"/>
            <w:vAlign w:val="center"/>
          </w:tcPr>
          <w:p w14:paraId="30A7EC79">
            <w:pPr>
              <w:jc w:val="center"/>
              <w:rPr>
                <w:rFonts w:hint="default" w:ascii="仿宋_GB2312" w:eastAsia="仿宋_GB2312"/>
                <w:color w:val="000000" w:themeColor="text1"/>
                <w:sz w:val="28"/>
                <w:lang w:val="en-US"/>
                <w14:textFill>
                  <w14:solidFill>
                    <w14:schemeClr w14:val="tx1"/>
                  </w14:solidFill>
                </w14:textFill>
              </w:rPr>
            </w:pPr>
            <w:r>
              <w:rPr>
                <w:rFonts w:hint="eastAsia"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t>产品名称</w:t>
            </w:r>
          </w:p>
        </w:tc>
        <w:tc>
          <w:tcPr>
            <w:tcW w:w="1546" w:type="dxa"/>
            <w:noWrap w:val="0"/>
            <w:vAlign w:val="center"/>
          </w:tcPr>
          <w:p w14:paraId="77065071">
            <w:pPr>
              <w:jc w:val="center"/>
              <w:rPr>
                <w:rFonts w:hint="eastAsia" w:ascii="仿宋_GB2312" w:eastAsia="仿宋_GB2312"/>
                <w:color w:val="000000" w:themeColor="text1"/>
                <w:sz w:val="28"/>
                <w:lang w:val="en-US" w:eastAsia="zh-CN"/>
                <w14:textFill>
                  <w14:solidFill>
                    <w14:schemeClr w14:val="tx1"/>
                  </w14:solidFill>
                </w14:textFill>
              </w:rPr>
            </w:pPr>
          </w:p>
        </w:tc>
        <w:tc>
          <w:tcPr>
            <w:tcW w:w="1490" w:type="dxa"/>
            <w:gridSpan w:val="2"/>
            <w:noWrap w:val="0"/>
            <w:vAlign w:val="center"/>
          </w:tcPr>
          <w:p w14:paraId="04550BAB">
            <w:pPr>
              <w:jc w:val="center"/>
              <w:rPr>
                <w:rFonts w:hint="eastAsia" w:ascii="仿宋_GB2312" w:eastAsia="仿宋_GB2312"/>
                <w:color w:val="000000" w:themeColor="text1"/>
                <w:sz w:val="28"/>
                <w14:textFill>
                  <w14:solidFill>
                    <w14:schemeClr w14:val="tx1"/>
                  </w14:solidFill>
                </w14:textFill>
              </w:rPr>
            </w:pPr>
            <w:r>
              <w:rPr>
                <w:rFonts w:hint="eastAsia"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t>产品型号</w:t>
            </w:r>
          </w:p>
        </w:tc>
        <w:tc>
          <w:tcPr>
            <w:tcW w:w="1547" w:type="dxa"/>
            <w:gridSpan w:val="2"/>
            <w:noWrap w:val="0"/>
            <w:vAlign w:val="center"/>
          </w:tcPr>
          <w:p w14:paraId="2C2582B0">
            <w:pPr>
              <w:jc w:val="center"/>
              <w:rPr>
                <w:rFonts w:hint="eastAsia" w:ascii="仿宋_GB2312" w:eastAsia="仿宋_GB2312"/>
                <w:color w:val="000000" w:themeColor="text1"/>
                <w:sz w:val="28"/>
                <w:lang w:val="en-US" w:eastAsia="zh-CN"/>
                <w14:textFill>
                  <w14:solidFill>
                    <w14:schemeClr w14:val="tx1"/>
                  </w14:solidFill>
                </w14:textFill>
              </w:rPr>
            </w:pPr>
          </w:p>
        </w:tc>
        <w:tc>
          <w:tcPr>
            <w:tcW w:w="1560" w:type="dxa"/>
            <w:gridSpan w:val="2"/>
            <w:noWrap w:val="0"/>
            <w:vAlign w:val="center"/>
          </w:tcPr>
          <w:p w14:paraId="170D8757">
            <w:pPr>
              <w:jc w:val="center"/>
              <w:rPr>
                <w:rFonts w:hint="eastAsia" w:ascii="仿宋_GB2312" w:eastAsia="仿宋_GB2312"/>
                <w:color w:val="000000" w:themeColor="text1"/>
                <w:sz w:val="28"/>
                <w14:textFill>
                  <w14:solidFill>
                    <w14:schemeClr w14:val="tx1"/>
                  </w14:solidFill>
                </w14:textFill>
              </w:rPr>
            </w:pPr>
            <w:r>
              <w:rPr>
                <w:rFonts w:hint="eastAsia"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t>产品规格</w:t>
            </w:r>
          </w:p>
        </w:tc>
        <w:tc>
          <w:tcPr>
            <w:tcW w:w="1725" w:type="dxa"/>
            <w:noWrap w:val="0"/>
            <w:vAlign w:val="center"/>
          </w:tcPr>
          <w:p w14:paraId="14C643F9">
            <w:pPr>
              <w:jc w:val="center"/>
              <w:rPr>
                <w:rFonts w:hint="default" w:ascii="仿宋_GB2312" w:eastAsia="仿宋_GB2312"/>
                <w:color w:val="000000" w:themeColor="text1"/>
                <w:w w:val="90"/>
                <w:sz w:val="28"/>
                <w:lang w:val="en-US" w:eastAsia="zh-CN"/>
                <w14:textFill>
                  <w14:solidFill>
                    <w14:schemeClr w14:val="tx1"/>
                  </w14:solidFill>
                </w14:textFill>
              </w:rPr>
            </w:pPr>
          </w:p>
        </w:tc>
      </w:tr>
      <w:tr w14:paraId="4169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40" w:type="dxa"/>
            <w:noWrap w:val="0"/>
            <w:vAlign w:val="center"/>
          </w:tcPr>
          <w:p w14:paraId="1CDA5B11">
            <w:pPr>
              <w:jc w:val="center"/>
              <w:rPr>
                <w:rFonts w:hint="default"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pPr>
            <w:r>
              <w:rPr>
                <w:rFonts w:hint="eastAsia"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t>产品数量</w:t>
            </w:r>
          </w:p>
        </w:tc>
        <w:tc>
          <w:tcPr>
            <w:tcW w:w="1546" w:type="dxa"/>
            <w:noWrap w:val="0"/>
            <w:vAlign w:val="center"/>
          </w:tcPr>
          <w:p w14:paraId="62D47D70">
            <w:pPr>
              <w:jc w:val="center"/>
              <w:rPr>
                <w:rFonts w:hint="eastAsia" w:ascii="仿宋_GB2312" w:eastAsia="仿宋_GB2312"/>
                <w:color w:val="000000" w:themeColor="text1"/>
                <w:sz w:val="28"/>
                <w:lang w:val="en-US" w:eastAsia="zh-CN"/>
                <w14:textFill>
                  <w14:solidFill>
                    <w14:schemeClr w14:val="tx1"/>
                  </w14:solidFill>
                </w14:textFill>
              </w:rPr>
            </w:pPr>
          </w:p>
        </w:tc>
        <w:tc>
          <w:tcPr>
            <w:tcW w:w="1490" w:type="dxa"/>
            <w:gridSpan w:val="2"/>
            <w:noWrap w:val="0"/>
            <w:vAlign w:val="center"/>
          </w:tcPr>
          <w:p w14:paraId="22D38211">
            <w:pPr>
              <w:jc w:val="center"/>
              <w:rPr>
                <w:rFonts w:hint="default"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pPr>
            <w:r>
              <w:rPr>
                <w:rFonts w:hint="eastAsia"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t>购置日期</w:t>
            </w:r>
          </w:p>
        </w:tc>
        <w:tc>
          <w:tcPr>
            <w:tcW w:w="1547" w:type="dxa"/>
            <w:gridSpan w:val="2"/>
            <w:noWrap w:val="0"/>
            <w:vAlign w:val="center"/>
          </w:tcPr>
          <w:p w14:paraId="12FE427A">
            <w:pPr>
              <w:jc w:val="center"/>
              <w:rPr>
                <w:rFonts w:hint="eastAsia" w:ascii="仿宋_GB2312" w:eastAsia="仿宋_GB2312"/>
                <w:color w:val="000000" w:themeColor="text1"/>
                <w:sz w:val="28"/>
                <w:lang w:val="en-US" w:eastAsia="zh-CN"/>
                <w14:textFill>
                  <w14:solidFill>
                    <w14:schemeClr w14:val="tx1"/>
                  </w14:solidFill>
                </w14:textFill>
              </w:rPr>
            </w:pPr>
          </w:p>
        </w:tc>
        <w:tc>
          <w:tcPr>
            <w:tcW w:w="1560" w:type="dxa"/>
            <w:gridSpan w:val="2"/>
            <w:noWrap w:val="0"/>
            <w:vAlign w:val="center"/>
          </w:tcPr>
          <w:p w14:paraId="362EC46C">
            <w:pPr>
              <w:jc w:val="center"/>
              <w:rPr>
                <w:rFonts w:hint="default"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pPr>
            <w:r>
              <w:rPr>
                <w:rFonts w:hint="eastAsia"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t>账面价值</w:t>
            </w:r>
          </w:p>
        </w:tc>
        <w:tc>
          <w:tcPr>
            <w:tcW w:w="1725" w:type="dxa"/>
            <w:noWrap w:val="0"/>
            <w:vAlign w:val="center"/>
          </w:tcPr>
          <w:p w14:paraId="766DAA27">
            <w:pPr>
              <w:jc w:val="center"/>
              <w:rPr>
                <w:rFonts w:hint="default" w:ascii="仿宋_GB2312" w:eastAsia="仿宋_GB2312"/>
                <w:color w:val="000000" w:themeColor="text1"/>
                <w:w w:val="90"/>
                <w:sz w:val="28"/>
                <w:lang w:val="en-US" w:eastAsia="zh-CN"/>
                <w14:textFill>
                  <w14:solidFill>
                    <w14:schemeClr w14:val="tx1"/>
                  </w14:solidFill>
                </w14:textFill>
              </w:rPr>
            </w:pPr>
          </w:p>
        </w:tc>
      </w:tr>
      <w:tr w14:paraId="1052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40" w:type="dxa"/>
            <w:noWrap w:val="0"/>
            <w:vAlign w:val="center"/>
          </w:tcPr>
          <w:p w14:paraId="666EBFF0">
            <w:pPr>
              <w:jc w:val="center"/>
              <w:rPr>
                <w:rFonts w:hint="default"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pPr>
            <w:r>
              <w:rPr>
                <w:rFonts w:hint="eastAsia"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t>处置原因及方式</w:t>
            </w:r>
          </w:p>
        </w:tc>
        <w:tc>
          <w:tcPr>
            <w:tcW w:w="7868" w:type="dxa"/>
            <w:gridSpan w:val="8"/>
            <w:noWrap w:val="0"/>
            <w:vAlign w:val="center"/>
          </w:tcPr>
          <w:p w14:paraId="54085ED1">
            <w:pPr>
              <w:jc w:val="center"/>
              <w:rPr>
                <w:rFonts w:hint="default" w:ascii="仿宋_GB2312" w:eastAsia="仿宋_GB2312"/>
                <w:color w:val="000000" w:themeColor="text1"/>
                <w:w w:val="90"/>
                <w:sz w:val="28"/>
                <w:lang w:val="en-US" w:eastAsia="zh-CN"/>
                <w14:textFill>
                  <w14:solidFill>
                    <w14:schemeClr w14:val="tx1"/>
                  </w14:solidFill>
                </w14:textFill>
              </w:rPr>
            </w:pPr>
          </w:p>
          <w:p w14:paraId="533E2B09">
            <w:pPr>
              <w:pStyle w:val="3"/>
              <w:rPr>
                <w:rFonts w:hint="default" w:ascii="仿宋_GB2312" w:eastAsia="仿宋_GB2312"/>
                <w:color w:val="000000" w:themeColor="text1"/>
                <w:w w:val="90"/>
                <w:sz w:val="28"/>
                <w:lang w:val="en-US" w:eastAsia="zh-CN"/>
                <w14:textFill>
                  <w14:solidFill>
                    <w14:schemeClr w14:val="tx1"/>
                  </w14:solidFill>
                </w14:textFill>
              </w:rPr>
            </w:pPr>
          </w:p>
          <w:p w14:paraId="0F50B7D6">
            <w:pPr>
              <w:pStyle w:val="4"/>
              <w:rPr>
                <w:rFonts w:hint="default" w:ascii="仿宋_GB2312" w:eastAsia="仿宋_GB2312"/>
                <w:color w:val="000000" w:themeColor="text1"/>
                <w:w w:val="90"/>
                <w:sz w:val="28"/>
                <w:lang w:val="en-US" w:eastAsia="zh-CN"/>
                <w14:textFill>
                  <w14:solidFill>
                    <w14:schemeClr w14:val="tx1"/>
                  </w14:solidFill>
                </w14:textFill>
              </w:rPr>
            </w:pPr>
          </w:p>
          <w:p w14:paraId="2554E950">
            <w:pPr>
              <w:rPr>
                <w:rFonts w:hint="default" w:ascii="仿宋_GB2312" w:eastAsia="仿宋_GB2312"/>
                <w:color w:val="000000" w:themeColor="text1"/>
                <w:w w:val="90"/>
                <w:sz w:val="28"/>
                <w:lang w:val="en-US" w:eastAsia="zh-CN"/>
                <w14:textFill>
                  <w14:solidFill>
                    <w14:schemeClr w14:val="tx1"/>
                  </w14:solidFill>
                </w14:textFill>
              </w:rPr>
            </w:pPr>
          </w:p>
          <w:p w14:paraId="3579E792">
            <w:pPr>
              <w:pStyle w:val="3"/>
              <w:rPr>
                <w:rFonts w:hint="default"/>
                <w:color w:val="000000" w:themeColor="text1"/>
                <w:lang w:val="en-US" w:eastAsia="zh-CN"/>
                <w14:textFill>
                  <w14:solidFill>
                    <w14:schemeClr w14:val="tx1"/>
                  </w14:solidFill>
                </w14:textFill>
              </w:rPr>
            </w:pPr>
          </w:p>
          <w:p w14:paraId="7CA4F2BF">
            <w:pPr>
              <w:rPr>
                <w:rFonts w:hint="default" w:ascii="仿宋_GB2312" w:eastAsia="仿宋_GB2312"/>
                <w:color w:val="000000" w:themeColor="text1"/>
                <w:w w:val="90"/>
                <w:sz w:val="28"/>
                <w:lang w:val="en-US" w:eastAsia="zh-CN"/>
                <w14:textFill>
                  <w14:solidFill>
                    <w14:schemeClr w14:val="tx1"/>
                  </w14:solidFill>
                </w14:textFill>
              </w:rPr>
            </w:pPr>
          </w:p>
          <w:p w14:paraId="22C6B181">
            <w:pPr>
              <w:pStyle w:val="3"/>
              <w:rPr>
                <w:rFonts w:hint="default" w:ascii="仿宋_GB2312" w:eastAsia="仿宋_GB2312"/>
                <w:color w:val="000000" w:themeColor="text1"/>
                <w:w w:val="90"/>
                <w:sz w:val="28"/>
                <w:lang w:val="en-US" w:eastAsia="zh-CN"/>
                <w14:textFill>
                  <w14:solidFill>
                    <w14:schemeClr w14:val="tx1"/>
                  </w14:solidFill>
                </w14:textFill>
              </w:rPr>
            </w:pPr>
          </w:p>
          <w:p w14:paraId="37C4FE97">
            <w:pPr>
              <w:pStyle w:val="4"/>
              <w:rPr>
                <w:rFonts w:hint="default"/>
                <w:color w:val="000000" w:themeColor="text1"/>
                <w:lang w:val="en-US" w:eastAsia="zh-CN"/>
                <w14:textFill>
                  <w14:solidFill>
                    <w14:schemeClr w14:val="tx1"/>
                  </w14:solidFill>
                </w14:textFill>
              </w:rPr>
            </w:pPr>
          </w:p>
        </w:tc>
      </w:tr>
      <w:tr w14:paraId="67CF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40" w:type="dxa"/>
            <w:vMerge w:val="restart"/>
            <w:noWrap w:val="0"/>
            <w:vAlign w:val="center"/>
          </w:tcPr>
          <w:p w14:paraId="62CBEABF">
            <w:pPr>
              <w:jc w:val="center"/>
              <w:rPr>
                <w:rFonts w:hint="default"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pPr>
            <w:r>
              <w:rPr>
                <w:rFonts w:hint="eastAsia"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t>审批意见</w:t>
            </w:r>
          </w:p>
        </w:tc>
        <w:tc>
          <w:tcPr>
            <w:tcW w:w="1967" w:type="dxa"/>
            <w:gridSpan w:val="2"/>
            <w:noWrap w:val="0"/>
            <w:vAlign w:val="center"/>
          </w:tcPr>
          <w:p w14:paraId="559E22FA">
            <w:pPr>
              <w:jc w:val="center"/>
              <w:rPr>
                <w:rFonts w:hint="default" w:ascii="仿宋_GB2312" w:eastAsia="仿宋_GB2312"/>
                <w:color w:val="000000" w:themeColor="text1"/>
                <w:w w:val="90"/>
                <w:sz w:val="28"/>
                <w:lang w:val="en-US" w:eastAsia="zh-CN"/>
                <w14:textFill>
                  <w14:solidFill>
                    <w14:schemeClr w14:val="tx1"/>
                  </w14:solidFill>
                </w14:textFill>
              </w:rPr>
            </w:pPr>
            <w:r>
              <w:rPr>
                <w:rFonts w:hint="eastAsia" w:ascii="仿宋_GB2312" w:eastAsia="仿宋_GB2312"/>
                <w:color w:val="000000" w:themeColor="text1"/>
                <w:w w:val="90"/>
                <w:sz w:val="28"/>
                <w:lang w:val="en-US" w:eastAsia="zh-CN"/>
                <w14:textFill>
                  <w14:solidFill>
                    <w14:schemeClr w14:val="tx1"/>
                  </w14:solidFill>
                </w14:textFill>
              </w:rPr>
              <w:t>综合部门意见</w:t>
            </w:r>
          </w:p>
        </w:tc>
        <w:tc>
          <w:tcPr>
            <w:tcW w:w="1967" w:type="dxa"/>
            <w:gridSpan w:val="2"/>
            <w:noWrap w:val="0"/>
            <w:vAlign w:val="center"/>
          </w:tcPr>
          <w:p w14:paraId="7C2545EF">
            <w:pPr>
              <w:jc w:val="center"/>
              <w:rPr>
                <w:rFonts w:hint="default" w:ascii="仿宋_GB2312" w:eastAsia="仿宋_GB2312"/>
                <w:color w:val="000000" w:themeColor="text1"/>
                <w:w w:val="90"/>
                <w:sz w:val="28"/>
                <w:lang w:val="en-US" w:eastAsia="zh-CN"/>
                <w14:textFill>
                  <w14:solidFill>
                    <w14:schemeClr w14:val="tx1"/>
                  </w14:solidFill>
                </w14:textFill>
              </w:rPr>
            </w:pPr>
          </w:p>
        </w:tc>
        <w:tc>
          <w:tcPr>
            <w:tcW w:w="1967" w:type="dxa"/>
            <w:gridSpan w:val="2"/>
            <w:noWrap w:val="0"/>
            <w:vAlign w:val="center"/>
          </w:tcPr>
          <w:p w14:paraId="315741B2">
            <w:pPr>
              <w:jc w:val="center"/>
              <w:rPr>
                <w:rFonts w:hint="default" w:ascii="仿宋_GB2312" w:eastAsia="仿宋_GB2312"/>
                <w:color w:val="000000" w:themeColor="text1"/>
                <w:w w:val="90"/>
                <w:sz w:val="28"/>
                <w:lang w:val="en-US" w:eastAsia="zh-CN"/>
                <w14:textFill>
                  <w14:solidFill>
                    <w14:schemeClr w14:val="tx1"/>
                  </w14:solidFill>
                </w14:textFill>
              </w:rPr>
            </w:pPr>
            <w:r>
              <w:rPr>
                <w:rFonts w:hint="eastAsia" w:ascii="仿宋_GB2312" w:eastAsia="仿宋_GB2312"/>
                <w:color w:val="000000" w:themeColor="text1"/>
                <w:w w:val="90"/>
                <w:sz w:val="28"/>
                <w:lang w:val="en-US" w:eastAsia="zh-CN"/>
                <w14:textFill>
                  <w14:solidFill>
                    <w14:schemeClr w14:val="tx1"/>
                  </w14:solidFill>
                </w14:textFill>
              </w:rPr>
              <w:t>财务部门意见</w:t>
            </w:r>
          </w:p>
        </w:tc>
        <w:tc>
          <w:tcPr>
            <w:tcW w:w="1967" w:type="dxa"/>
            <w:gridSpan w:val="2"/>
            <w:noWrap w:val="0"/>
            <w:vAlign w:val="center"/>
          </w:tcPr>
          <w:p w14:paraId="18892DB4">
            <w:pPr>
              <w:jc w:val="center"/>
              <w:rPr>
                <w:rFonts w:hint="default" w:ascii="仿宋_GB2312" w:eastAsia="仿宋_GB2312"/>
                <w:color w:val="000000" w:themeColor="text1"/>
                <w:w w:val="90"/>
                <w:sz w:val="28"/>
                <w:lang w:val="en-US" w:eastAsia="zh-CN"/>
                <w14:textFill>
                  <w14:solidFill>
                    <w14:schemeClr w14:val="tx1"/>
                  </w14:solidFill>
                </w14:textFill>
              </w:rPr>
            </w:pPr>
          </w:p>
        </w:tc>
      </w:tr>
      <w:tr w14:paraId="4608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40" w:type="dxa"/>
            <w:vMerge w:val="continue"/>
            <w:noWrap w:val="0"/>
            <w:vAlign w:val="center"/>
          </w:tcPr>
          <w:p w14:paraId="5CC5B7BE">
            <w:pPr>
              <w:jc w:val="center"/>
              <w:rPr>
                <w:rFonts w:hint="eastAsia" w:ascii="仿宋_GB2312" w:hAnsi="Times New Roman" w:eastAsia="仿宋_GB2312" w:cs="Times New Roman"/>
                <w:b w:val="0"/>
                <w:color w:val="000000" w:themeColor="text1"/>
                <w:kern w:val="2"/>
                <w:sz w:val="28"/>
                <w:szCs w:val="20"/>
                <w:lang w:val="en-US" w:eastAsia="zh-CN" w:bidi="ar-SA"/>
                <w14:textFill>
                  <w14:solidFill>
                    <w14:schemeClr w14:val="tx1"/>
                  </w14:solidFill>
                </w14:textFill>
              </w:rPr>
            </w:pPr>
          </w:p>
        </w:tc>
        <w:tc>
          <w:tcPr>
            <w:tcW w:w="1967" w:type="dxa"/>
            <w:gridSpan w:val="2"/>
            <w:noWrap w:val="0"/>
            <w:vAlign w:val="center"/>
          </w:tcPr>
          <w:p w14:paraId="587953FD">
            <w:pPr>
              <w:ind w:firstLine="252" w:firstLineChars="100"/>
              <w:jc w:val="both"/>
              <w:rPr>
                <w:rFonts w:hint="default" w:ascii="仿宋_GB2312" w:eastAsia="仿宋_GB2312"/>
                <w:color w:val="000000" w:themeColor="text1"/>
                <w:w w:val="90"/>
                <w:sz w:val="28"/>
                <w:lang w:val="en-US" w:eastAsia="zh-CN"/>
                <w14:textFill>
                  <w14:solidFill>
                    <w14:schemeClr w14:val="tx1"/>
                  </w14:solidFill>
                </w14:textFill>
              </w:rPr>
            </w:pPr>
            <w:r>
              <w:rPr>
                <w:rFonts w:hint="eastAsia" w:ascii="仿宋_GB2312" w:eastAsia="仿宋_GB2312"/>
                <w:color w:val="000000" w:themeColor="text1"/>
                <w:w w:val="90"/>
                <w:sz w:val="28"/>
                <w:lang w:val="en-US" w:eastAsia="zh-CN"/>
                <w14:textFill>
                  <w14:solidFill>
                    <w14:schemeClr w14:val="tx1"/>
                  </w14:solidFill>
                </w14:textFill>
              </w:rPr>
              <w:t>秘书处意见</w:t>
            </w:r>
          </w:p>
        </w:tc>
        <w:tc>
          <w:tcPr>
            <w:tcW w:w="5901" w:type="dxa"/>
            <w:gridSpan w:val="6"/>
            <w:noWrap w:val="0"/>
            <w:vAlign w:val="center"/>
          </w:tcPr>
          <w:p w14:paraId="65FDE08D">
            <w:pPr>
              <w:jc w:val="center"/>
              <w:rPr>
                <w:rFonts w:hint="default" w:ascii="仿宋_GB2312" w:eastAsia="仿宋_GB2312"/>
                <w:color w:val="000000" w:themeColor="text1"/>
                <w:w w:val="90"/>
                <w:sz w:val="28"/>
                <w:lang w:val="en-US" w:eastAsia="zh-CN"/>
                <w14:textFill>
                  <w14:solidFill>
                    <w14:schemeClr w14:val="tx1"/>
                  </w14:solidFill>
                </w14:textFill>
              </w:rPr>
            </w:pPr>
          </w:p>
        </w:tc>
      </w:tr>
    </w:tbl>
    <w:p w14:paraId="162EBD60">
      <w:pPr>
        <w:rPr>
          <w:rFonts w:hint="eastAsia"/>
          <w:color w:val="000000" w:themeColor="text1"/>
          <w14:textFill>
            <w14:solidFill>
              <w14:schemeClr w14:val="tx1"/>
            </w14:solidFill>
          </w14:textFill>
        </w:rPr>
      </w:pPr>
    </w:p>
    <w:sectPr>
      <w:pgSz w:w="11906" w:h="16838"/>
      <w:pgMar w:top="1803" w:right="1440" w:bottom="1803"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2FD08A-A177-49BD-B302-F8FAA576A0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embedRegular r:id="rId2" w:fontKey="{529D1E3A-CC1F-4FA1-8827-AD069727715F}"/>
  </w:font>
  <w:font w:name="楷体_GB2312">
    <w:altName w:val="楷体"/>
    <w:panose1 w:val="02010609030101010101"/>
    <w:charset w:val="86"/>
    <w:family w:val="auto"/>
    <w:pitch w:val="default"/>
    <w:sig w:usb0="00000000" w:usb1="00000000" w:usb2="00000000" w:usb3="00000000" w:csb0="00040000" w:csb1="00000000"/>
    <w:embedRegular r:id="rId3" w:fontKey="{7DB637D8-B95B-4FCF-92F5-ED495426C4A9}"/>
  </w:font>
  <w:font w:name="仿宋_GB2312">
    <w:altName w:val="仿宋"/>
    <w:panose1 w:val="02010609030101010101"/>
    <w:charset w:val="86"/>
    <w:family w:val="modern"/>
    <w:pitch w:val="default"/>
    <w:sig w:usb0="00000000" w:usb1="00000000" w:usb2="00000000" w:usb3="00000000" w:csb0="00040000" w:csb1="00000000"/>
    <w:embedRegular r:id="rId4" w:fontKey="{7A0AFEB6-2086-4BF4-A58E-EEFBCBD6BA9C}"/>
  </w:font>
  <w:font w:name="楷体">
    <w:panose1 w:val="02010609060101010101"/>
    <w:charset w:val="86"/>
    <w:family w:val="auto"/>
    <w:pitch w:val="default"/>
    <w:sig w:usb0="800002BF" w:usb1="38CF7CFA" w:usb2="00000016" w:usb3="00000000" w:csb0="00040001" w:csb1="00000000"/>
    <w:embedRegular r:id="rId5" w:fontKey="{0640FDBD-0ED9-4E6E-A231-0C572582001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1E79">
    <w:pPr>
      <w:pStyle w:val="6"/>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5058410</wp:posOffset>
              </wp:positionH>
              <wp:positionV relativeFrom="paragraph">
                <wp:posOffset>0</wp:posOffset>
              </wp:positionV>
              <wp:extent cx="6731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CDF8B">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8.3pt;margin-top:0pt;height:144pt;width:53pt;mso-position-horizontal-relative:margin;z-index:251659264;mso-width-relative:page;mso-height-relative:page;" filled="f" stroked="f" coordsize="21600,21600" o:gfxdata="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COV4dUAAAAIAQAADwAAAAAAAAABACAAAAAiAAAAZHJzL2Rvd25yZXYu&#10;eG1sUEsBAhQAFAAAAAgAh07iQEC9/rQ3AgAAYgQAAA4AAAAAAAAAAQAgAAAAJAEAAGRycy9lMm9E&#10;b2MueG1sUEsFBgAAAAAGAAYAWQEAAM0FAAAAAA==&#10;">
              <v:fill on="f" focussize="0,0"/>
              <v:stroke on="f" weight="0.5pt"/>
              <v:imagedata o:title=""/>
              <o:lock v:ext="edit" aspectratio="f"/>
              <v:textbox inset="0mm,0mm,0mm,0mm" style="mso-fit-shape-to-text:t;">
                <w:txbxContent>
                  <w:p w14:paraId="14CCDF8B">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93451"/>
    <w:multiLevelType w:val="singleLevel"/>
    <w:tmpl w:val="D7A93451"/>
    <w:lvl w:ilvl="0" w:tentative="0">
      <w:start w:val="1"/>
      <w:numFmt w:val="chineseCounting"/>
      <w:suff w:val="nothing"/>
      <w:lvlText w:val="（%1）"/>
      <w:lvlJc w:val="left"/>
      <w:rPr>
        <w:rFonts w:hint="eastAsia"/>
      </w:rPr>
    </w:lvl>
  </w:abstractNum>
  <w:abstractNum w:abstractNumId="1">
    <w:nsid w:val="619FB61C"/>
    <w:multiLevelType w:val="singleLevel"/>
    <w:tmpl w:val="619FB61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D43DB"/>
    <w:rsid w:val="01E12FA3"/>
    <w:rsid w:val="044019A0"/>
    <w:rsid w:val="04981783"/>
    <w:rsid w:val="054664F7"/>
    <w:rsid w:val="05664518"/>
    <w:rsid w:val="06A42F8B"/>
    <w:rsid w:val="079269DC"/>
    <w:rsid w:val="09316DF8"/>
    <w:rsid w:val="09F759B1"/>
    <w:rsid w:val="114548F8"/>
    <w:rsid w:val="128B3251"/>
    <w:rsid w:val="13B8EAE5"/>
    <w:rsid w:val="15517106"/>
    <w:rsid w:val="17B307D5"/>
    <w:rsid w:val="1A4240A2"/>
    <w:rsid w:val="1FFFD54D"/>
    <w:rsid w:val="21613AFB"/>
    <w:rsid w:val="23316E5B"/>
    <w:rsid w:val="24BB79C6"/>
    <w:rsid w:val="252B1120"/>
    <w:rsid w:val="253E4494"/>
    <w:rsid w:val="264C2BB5"/>
    <w:rsid w:val="267B3A7B"/>
    <w:rsid w:val="26B50377"/>
    <w:rsid w:val="28611EA3"/>
    <w:rsid w:val="28836A4D"/>
    <w:rsid w:val="298F3DBD"/>
    <w:rsid w:val="29D17C47"/>
    <w:rsid w:val="29F6D5EC"/>
    <w:rsid w:val="29F99784"/>
    <w:rsid w:val="2B2124F4"/>
    <w:rsid w:val="2D6F276D"/>
    <w:rsid w:val="2F1D43DB"/>
    <w:rsid w:val="30E95DFB"/>
    <w:rsid w:val="317F9960"/>
    <w:rsid w:val="35D5301F"/>
    <w:rsid w:val="37BC7885"/>
    <w:rsid w:val="3ADC5DF1"/>
    <w:rsid w:val="3AFFCCD3"/>
    <w:rsid w:val="3BBFB462"/>
    <w:rsid w:val="3DFF7E1B"/>
    <w:rsid w:val="3F729948"/>
    <w:rsid w:val="3F89F325"/>
    <w:rsid w:val="3FBF79B6"/>
    <w:rsid w:val="3FC23E6D"/>
    <w:rsid w:val="3FFF8834"/>
    <w:rsid w:val="451D2AA7"/>
    <w:rsid w:val="45B222C8"/>
    <w:rsid w:val="49173A9A"/>
    <w:rsid w:val="4D2515D1"/>
    <w:rsid w:val="4FFE218B"/>
    <w:rsid w:val="529266E8"/>
    <w:rsid w:val="53BA4AB2"/>
    <w:rsid w:val="53D9FCC7"/>
    <w:rsid w:val="55B321ED"/>
    <w:rsid w:val="56613A78"/>
    <w:rsid w:val="569625B3"/>
    <w:rsid w:val="57F4F6F0"/>
    <w:rsid w:val="595D5C57"/>
    <w:rsid w:val="5AE65B1D"/>
    <w:rsid w:val="5B75548C"/>
    <w:rsid w:val="5DFB1CFB"/>
    <w:rsid w:val="5EB6083C"/>
    <w:rsid w:val="5FB75703"/>
    <w:rsid w:val="66C540D4"/>
    <w:rsid w:val="66EEFECB"/>
    <w:rsid w:val="680B4817"/>
    <w:rsid w:val="6ABD3C20"/>
    <w:rsid w:val="6C3F2D0A"/>
    <w:rsid w:val="6CA05779"/>
    <w:rsid w:val="6F387AA5"/>
    <w:rsid w:val="6F8E2E46"/>
    <w:rsid w:val="721529B5"/>
    <w:rsid w:val="725D50E0"/>
    <w:rsid w:val="72DE082B"/>
    <w:rsid w:val="730BD864"/>
    <w:rsid w:val="739FB80D"/>
    <w:rsid w:val="73ED4EF0"/>
    <w:rsid w:val="75ECEF16"/>
    <w:rsid w:val="76066833"/>
    <w:rsid w:val="7ADC5BC9"/>
    <w:rsid w:val="7AF6863F"/>
    <w:rsid w:val="7B081C49"/>
    <w:rsid w:val="7BFC9F6C"/>
    <w:rsid w:val="7BFCDCBF"/>
    <w:rsid w:val="7C3A2B5B"/>
    <w:rsid w:val="7EEF2B8A"/>
    <w:rsid w:val="7FB7C5B0"/>
    <w:rsid w:val="7FDE7C54"/>
    <w:rsid w:val="7FFD718C"/>
    <w:rsid w:val="7FFF178F"/>
    <w:rsid w:val="9FEF8DBC"/>
    <w:rsid w:val="ABBF7E47"/>
    <w:rsid w:val="AF2F7627"/>
    <w:rsid w:val="AFED4ED9"/>
    <w:rsid w:val="AFFBD533"/>
    <w:rsid w:val="B6EF3F5D"/>
    <w:rsid w:val="BBBEFC96"/>
    <w:rsid w:val="BDFFF0F1"/>
    <w:rsid w:val="BF3ECCC3"/>
    <w:rsid w:val="BFBC1F98"/>
    <w:rsid w:val="C6FB99F5"/>
    <w:rsid w:val="D6F32D06"/>
    <w:rsid w:val="D77F4FC9"/>
    <w:rsid w:val="DBFF7EC9"/>
    <w:rsid w:val="DDEB3974"/>
    <w:rsid w:val="DE73D849"/>
    <w:rsid w:val="E7FF6CA0"/>
    <w:rsid w:val="EB6E9300"/>
    <w:rsid w:val="F5BF6BD9"/>
    <w:rsid w:val="F75E8308"/>
    <w:rsid w:val="F77E84DD"/>
    <w:rsid w:val="F7DF42DF"/>
    <w:rsid w:val="F9BD7CEF"/>
    <w:rsid w:val="FB054025"/>
    <w:rsid w:val="FBA5DF8D"/>
    <w:rsid w:val="FBA7839F"/>
    <w:rsid w:val="FBED52AF"/>
    <w:rsid w:val="FDF32C3A"/>
    <w:rsid w:val="FFAF8173"/>
    <w:rsid w:val="FFBE9E10"/>
    <w:rsid w:val="FFCF6007"/>
    <w:rsid w:val="FFDF23A2"/>
    <w:rsid w:val="FFF71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ind w:left="2718"/>
      <w:outlineLvl w:val="1"/>
    </w:pPr>
    <w:rPr>
      <w:rFonts w:ascii="宋体" w:hAnsi="宋体" w:eastAsia="宋体" w:cs="宋体"/>
      <w:sz w:val="62"/>
      <w:szCs w:val="6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61"/>
      <w:szCs w:val="61"/>
    </w:rPr>
  </w:style>
  <w:style w:type="paragraph" w:styleId="4">
    <w:name w:val="Title"/>
    <w:basedOn w:val="1"/>
    <w:next w:val="1"/>
    <w:qFormat/>
    <w:uiPriority w:val="10"/>
    <w:pPr>
      <w:spacing w:line="576" w:lineRule="exact"/>
      <w:jc w:val="center"/>
      <w:outlineLvl w:val="0"/>
    </w:pPr>
    <w:rPr>
      <w:rFonts w:ascii="Arial" w:hAnsi="Arial" w:eastAsia="方正小标宋_GBK" w:cs="方正小标宋_GBK"/>
      <w:sz w:val="44"/>
      <w:szCs w:val="36"/>
    </w:rPr>
  </w:style>
  <w:style w:type="paragraph" w:styleId="5">
    <w:name w:val="Body Text Indent"/>
    <w:basedOn w:val="1"/>
    <w:qFormat/>
    <w:uiPriority w:val="0"/>
    <w:pPr>
      <w:spacing w:line="480" w:lineRule="exact"/>
      <w:ind w:firstLine="560" w:firstLineChars="200"/>
    </w:pPr>
    <w:rPr>
      <w:rFonts w:ascii="Times New Roman" w:hAnsi="Times New Roman" w:eastAsia="宋体" w:cs="Times New Roman"/>
      <w:sz w:val="28"/>
      <w:szCs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6"/>
    <w:unhideWhenUsed/>
    <w:qFormat/>
    <w:uiPriority w:val="99"/>
    <w:pPr>
      <w:ind w:firstLine="420" w:firstLineChars="100"/>
    </w:pPr>
    <w:rPr>
      <w:rFonts w:eastAsia="宋体" w:cs="Times New Roman"/>
      <w:szCs w:val="22"/>
    </w:rPr>
  </w:style>
  <w:style w:type="paragraph" w:styleId="9">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4506</Words>
  <Characters>4512</Characters>
  <Lines>0</Lines>
  <Paragraphs>0</Paragraphs>
  <TotalTime>4</TotalTime>
  <ScaleCrop>false</ScaleCrop>
  <LinksUpToDate>false</LinksUpToDate>
  <CharactersWithSpaces>4652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2025-06-14T22:14:00Z</dcterms:created>
  <dc:creator>心晴</dc:creator>
  <cp:lastModifiedBy>心想事成1408663952</cp:lastModifiedBy>
  <cp:lastPrinted>2025-12-14T06:11:00Z</cp:lastPrinted>
  <dcterms:modified xsi:type="dcterms:W3CDTF">2026-05-07T09:51:30Z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3B359B83AEA446F8BC506E13E045ED44_11</vt:lpwstr>
  </property>
  <property fmtid="{D5CDD505-2E9C-101B-9397-08002B2CF9AE}" pid="4" name="KSOTemplateDocerSaveRecord">
    <vt:lpwstr>eyJoZGlkIjoiMTY2M2M5N2FkNzJmYmUxODUyMzFiZmQ0OGZmN2EwY2YiLCJ1c2VySWQiOiIyMDQwMDA4NyJ9</vt:lpwstr>
  </property>
</Properties>
</file>