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江西省红十字基金会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部门预算管理制度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总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则</w:t>
      </w:r>
    </w:p>
    <w:p>
      <w:pPr>
        <w:ind w:firstLine="562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为进一步规范江西省红十字基金会（以下简称“江西红基会”）的财务行为，加强财务管理和监督，提高资金使用效益，保障人道公益事业健康发展，制定本制度。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制度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适用于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各部门预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算的编制、执行和监督等管理活动。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部门预算是指部门所有收支的综合财务计划，经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审核统一提交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研究批准后执行的预算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第四条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及部门共同组织实施。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负责组织、审核、批复部门预算，监督预算的执行，向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报告部门预算编制、执行情况。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部门负责编制本部门预算草案，执行批复的预算。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部门预算编制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执行预算管理制度。各部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参考历史预算执行情况和预算年度收入增减因素，以及年度结转、结余情况与事业发展规划，测算编制年度支出预算，提交财务部门汇总，最后提交秘书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办公会审议通过后执行。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各部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应根据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年度工作计划，结合本部门资源统筹情况，使用财务部统一编制的预算表格，在每年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月底前将下一年度的财务预算提交财务部汇总。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各部门的年度财务预算应当包括：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收入预算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捐赠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利息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其他收入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项目预算支出（援建项目、各专项基金资助支出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物资支出及其他支出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等）；机构日常运行管理费用（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办公费，邮电费， 接待费，会议培训费，差旅费，交通费，工作及劳务补助，车辆运行，印制费，工资福利支出，社会保障缴费，住房公积金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等行政办公开支）预算等。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实行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管理费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支出成本控制制度。各部门年度用于团队建设、公务招待、交通、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邮寄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等公务支出，按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需就实支出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取暖费、节日补贴、就餐补贴、生日费，根据《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江西省红十字基金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会薪酬福利制度》规定标准，由办公室统一报预算。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部门预算执行与调整</w:t>
      </w:r>
    </w:p>
    <w:p>
      <w:pPr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对项目支出按实施进度直接支付。部门要严格按照预算执行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对部门预算内的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管理费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支出按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实际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拨付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预算支出管理。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）对预算内的项目支出实行分级、定额审批制。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）各部门根据年度计划上报用款计划，经财务部门核对预算，根据审批权限逐级审批后执行。报销时报销内容需与用款申请的内容一致。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）对审议通过的预算应根据预算金额及审批权限，实施逐级审批流程，不再另行上报秘书长办公会讨论。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）对跨年度执行的项目预算支出，经办部门应当会同财务部编制跨年度支出计划，经秘书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办公会审议通过后执行。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部门在执行预算时，不得发生下列行为：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擅自扩大支出范围、提高开支标准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办理无预算、超预算支出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用项目预算资金安排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管理费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伪造、变造虚假合同或发票骗取预算资金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采取各种手段虚列支出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不按规定办理采购业务等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私设小金库。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部门要按年初安排的项目支出预算，加快项目实施进度，提高资金使用效率。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部门预算批复后，原则上不予调整，确需调整预算的，要提交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研究批准。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出现下列情况的，应办理部门预算调整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国家、省统一出台新的增支政策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部门人员发生变化的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部门发生超（短）收的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批准需要追加年度支出预算的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其他需要进行预算调整的事项。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在每年第四季度每向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报送各部门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算执行情况。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第四章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部门预算管理和监督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要按照相关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财务制度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，会同办公室、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对部门预算进行管理和监督，实行跟踪问效和绩效考评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部门负责人根据相关规章制度，对本部门的预算编制、执行情况实行全程监督。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定期向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秘书处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反馈预算执行信息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第五章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则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本办法自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一届二次理事会审议通过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之日起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试行，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江西红基会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3E6F"/>
    <w:rsid w:val="118A078A"/>
    <w:rsid w:val="178E7CC0"/>
    <w:rsid w:val="1D404D99"/>
    <w:rsid w:val="1E990129"/>
    <w:rsid w:val="20C375F2"/>
    <w:rsid w:val="2BD53FE0"/>
    <w:rsid w:val="2CF84698"/>
    <w:rsid w:val="2ED14C46"/>
    <w:rsid w:val="33C869E5"/>
    <w:rsid w:val="348661BE"/>
    <w:rsid w:val="3575007E"/>
    <w:rsid w:val="3CC217B3"/>
    <w:rsid w:val="40F41E0D"/>
    <w:rsid w:val="50311848"/>
    <w:rsid w:val="5244525A"/>
    <w:rsid w:val="52671B59"/>
    <w:rsid w:val="52673E6F"/>
    <w:rsid w:val="54602D61"/>
    <w:rsid w:val="56E63A34"/>
    <w:rsid w:val="57EE5705"/>
    <w:rsid w:val="621F2F70"/>
    <w:rsid w:val="66DE339E"/>
    <w:rsid w:val="6FFA062F"/>
    <w:rsid w:val="7B514839"/>
    <w:rsid w:val="7E9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2019-03-26T08:57:00Z</dcterms:created>
  <dc:creator>Seize the day</dc:creator>
  <cp:lastModifiedBy>么么茶</cp:lastModifiedBy>
  <dcterms:modified xsi:type="dcterms:W3CDTF">2019-04-21T11:54:27Z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